
<file path=[Content_Types].xml><?xml version="1.0" encoding="utf-8"?>
<Types xmlns="http://schemas.openxmlformats.org/package/2006/content-types">
  <Default Extension="wmf" ContentType="image/x-wmf"/>
  <Default Extension="png" ContentType="image/png"/>
  <Default Extension="xml" ContentType="application/xml"/>
  <Default Extension="jpeg" ContentType="image/jpeg"/>
  <Default Extension="rels" ContentType="application/vnd.openxmlformats-package.relationships+xml"/>
  <Default Extension="bin" ContentType="application/vnd.openxmlformats-officedocument.oleObject"/>
  <Override PartName="/docProps/app.xml" ContentType="application/vnd.openxmlformats-officedocument.extended-properties+xml"/>
  <Override PartName="/word/endnotes.xml" ContentType="application/vnd.openxmlformats-officedocument.wordprocessingml.endnotes+xml"/>
  <Override PartName="/word/footnotes.xml" ContentType="application/vnd.openxmlformats-officedocument.wordprocessingml.footnotes+xml"/>
  <Override PartName="/word/numbering.xml" ContentType="application/vnd.openxmlformats-officedocument.wordprocessingml.numbering+xml"/>
  <Override PartName="/word/theme/theme1.xml" ContentType="application/vnd.openxmlformats-officedocument.theme+xml"/>
  <Override PartName="/docProps/core.xml" ContentType="application/vnd.openxmlformats-package.core-properties+xml"/>
  <Override PartName="/word/webSettings.xml" ContentType="application/vnd.openxmlformats-officedocument.wordprocessingml.webSetting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ind w:left="0"/>
        <w:jc w:val="center"/>
        <w:rPr/>
      </w:pPr>
      <w:r>
        <mc:AlternateContent>
          <mc:Choice Requires="wpg">
            <w:drawing>
              <wp:anchor xmlns:wp="http://schemas.openxmlformats.org/drawingml/2006/wordprocessingDrawing" xmlns:wp14="http://schemas.microsoft.com/office/word/2010/wordprocessingDrawing" distT="0" distB="0" distL="114300" distR="114300" simplePos="0" relativeHeight="251658240" behindDoc="1" locked="0" layoutInCell="1" allowOverlap="1">
                <wp:simplePos x="0" y="0"/>
                <wp:positionH relativeFrom="column">
                  <wp:posOffset>-946150</wp:posOffset>
                </wp:positionH>
                <wp:positionV relativeFrom="page">
                  <wp:posOffset>-20918</wp:posOffset>
                </wp:positionV>
                <wp:extent cx="4809490" cy="503428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r/>
                      </pic:nvPicPr>
                      <pic:blipFill>
                        <a:blip r:embed="rId9"/>
                        <a:stretch/>
                      </pic:blipFill>
                      <pic:spPr bwMode="auto">
                        <a:xfrm>
                          <a:off x="0" y="0"/>
                          <a:ext cx="4809490" cy="5034280"/>
                        </a:xfrm>
                        <a:prstGeom prst="rect">
                          <a:avLst/>
                        </a:prstGeom>
                        <a:noFill/>
                        <a:ln>
                          <a:noFill/>
                        </a:ln>
                      </pic:spPr>
                    </pic:pic>
                  </a:graphicData>
                </a:graphic>
                <wp14:sizeRelH relativeFrom="page">
                  <wp14:pctWidth>0</wp14:pctWidth>
                </wp14:sizeRelH>
                <wp14:sizeRelV relativeFrom="page">
                  <wp14:pctHeight>0</wp14:pctHeight>
                </wp14:sizeRelV>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8240;o:allowoverlap:true;o:allowincell:true;mso-position-horizontal-relative:text;margin-left:-74.50pt;mso-position-horizontal:absolute;mso-position-vertical-relative:page;margin-top:-1.65pt;mso-position-vertical:absolute;width:378.70pt;height:396.40pt;mso-wrap-distance-left:9.00pt;mso-wrap-distance-top:0.00pt;mso-wrap-distance-right:9.00pt;mso-wrap-distance-bottom:0.00pt;z-index:1;" stroked="f">
                <v:imagedata r:id="rId9" o:title=""/>
                <o:lock v:ext="edit" rotation="t"/>
              </v:shape>
            </w:pict>
          </mc:Fallback>
        </mc:AlternateContent>
      </w:r>
      <w:r/>
    </w:p>
    <w:p>
      <w:pPr>
        <w:pBdr/>
        <w:spacing/>
        <w:ind w:left="0"/>
        <w:jc w:val="center"/>
        <w:rPr/>
      </w:pPr>
      <w:r/>
      <w:r/>
    </w:p>
    <w:p>
      <w:pPr>
        <w:pBdr/>
        <w:spacing/>
        <w:ind w:left="0"/>
        <w:jc w:val="center"/>
        <w:rPr/>
      </w:pPr>
      <w:r/>
      <w:r/>
    </w:p>
    <w:p>
      <w:pPr>
        <w:pBdr/>
        <w:spacing w:after="120"/>
        <w:ind w:left="0"/>
        <w:jc w:val="center"/>
        <w:rPr/>
      </w:pPr>
      <w:r/>
      <w:r/>
    </w:p>
    <w:p>
      <w:pPr>
        <w:pBdr/>
        <w:spacing w:after="120"/>
        <w:ind w:left="0"/>
        <w:jc w:val="center"/>
        <w:rPr/>
      </w:pPr>
      <w:r/>
      <w:r/>
    </w:p>
    <w:p>
      <w:pPr>
        <w:pBdr/>
        <w:spacing/>
        <w:ind w:left="0"/>
        <w:jc w:val="center"/>
        <w:rPr>
          <w:b/>
          <w:bCs/>
          <w:sz w:val="28"/>
          <w:szCs w:val="28"/>
        </w:rPr>
      </w:pPr>
      <w:r>
        <w:rPr>
          <w:b/>
          <w:bCs/>
          <w:sz w:val="28"/>
          <w:szCs w:val="28"/>
        </w:rPr>
        <w:t xml:space="preserve">NERV Industries</w:t>
      </w:r>
      <w:r>
        <w:rPr>
          <w:b/>
          <w:bCs/>
          <w:sz w:val="28"/>
          <w:szCs w:val="28"/>
        </w:rPr>
      </w:r>
    </w:p>
    <w:p>
      <w:pPr>
        <w:pBdr/>
        <w:spacing/>
        <w:ind w:left="0"/>
        <w:jc w:val="center"/>
        <w:rPr/>
      </w:pPr>
      <w:r>
        <w:t xml:space="preserve">nervindustries.com</w:t>
      </w:r>
      <w:r/>
    </w:p>
    <w:p>
      <w:pPr>
        <w:pBdr/>
        <w:spacing/>
        <w:ind w:left="0"/>
        <w:jc w:val="center"/>
        <w:rPr/>
      </w:pPr>
      <w:r>
        <w:br/>
      </w:r>
      <w:r>
        <w:br/>
      </w:r>
      <w:r>
        <w:br/>
      </w:r>
      <w:r>
        <w:br/>
      </w:r>
      <w:r>
        <w:br/>
      </w:r>
      <w:r>
        <w:br/>
      </w:r>
      <w:r/>
    </w:p>
    <w:p>
      <w:pPr>
        <w:pBdr/>
        <w:spacing/>
        <w:ind w:left="0"/>
        <w:jc w:val="center"/>
        <w:rPr/>
      </w:pPr>
      <w:r>
        <w:br/>
      </w:r>
      <w:r>
        <w:br/>
      </w:r>
      <w:r>
        <w:br/>
      </w:r>
      <w:r/>
    </w:p>
    <w:p>
      <w:pPr>
        <w:pBdr/>
        <w:spacing/>
        <w:ind w:left="0"/>
        <w:jc w:val="center"/>
        <w:rPr>
          <w:b/>
          <w:bCs/>
          <w:color w:val="e07048"/>
          <w:sz w:val="56"/>
          <w:szCs w:val="56"/>
        </w:rPr>
      </w:pPr>
      <w:r>
        <w:rPr>
          <w:b/>
          <w:bCs/>
          <w:color w:val="e07048"/>
          <w:sz w:val="56"/>
          <w:szCs w:val="56"/>
        </w:rPr>
        <w:t xml:space="preserve">BUSINESS PLAN PROPOSAL</w:t>
      </w:r>
      <w:r>
        <w:rPr>
          <w:b/>
          <w:bCs/>
          <w:color w:val="e07048"/>
          <w:sz w:val="56"/>
          <w:szCs w:val="56"/>
        </w:rPr>
      </w:r>
    </w:p>
    <w:p>
      <w:pPr>
        <w:pBdr/>
        <w:spacing/>
        <w:ind w:left="0"/>
        <w:jc w:val="center"/>
        <w:rPr/>
      </w:pPr>
      <w:r>
        <mc:AlternateContent>
          <mc:Choice Requires="wpg">
            <w:drawing>
              <wp:anchor xmlns:wp="http://schemas.openxmlformats.org/drawingml/2006/wordprocessingDrawing" xmlns:wp14="http://schemas.microsoft.com/office/word/2010/wordprocessingDrawing" distT="0" distB="0" distL="114300" distR="114300" simplePos="0" relativeHeight="251660288" behindDoc="1" locked="0" layoutInCell="1" allowOverlap="1">
                <wp:simplePos x="0" y="0"/>
                <wp:positionH relativeFrom="column">
                  <wp:posOffset>1825588</wp:posOffset>
                </wp:positionH>
                <wp:positionV relativeFrom="page">
                  <wp:posOffset>5721350</wp:posOffset>
                </wp:positionV>
                <wp:extent cx="4809490" cy="5034280"/>
                <wp:effectExtent l="0" t="0" r="0" b="0"/>
                <wp:wrapNone/>
                <wp:docPr id="2" name="Picture 166462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r/>
                      </pic:nvPicPr>
                      <pic:blipFill>
                        <a:blip r:embed="rId9"/>
                        <a:stretch/>
                      </pic:blipFill>
                      <pic:spPr bwMode="auto">
                        <a:xfrm rot="10800000">
                          <a:off x="0" y="0"/>
                          <a:ext cx="4809490" cy="5034280"/>
                        </a:xfrm>
                        <a:prstGeom prst="rect">
                          <a:avLst/>
                        </a:prstGeom>
                        <a:noFill/>
                        <a:ln>
                          <a:noFill/>
                        </a:ln>
                      </pic:spPr>
                    </pic:pic>
                  </a:graphicData>
                </a:graphic>
                <wp14:sizeRelH relativeFrom="page">
                  <wp14:pctWidth>0</wp14:pctWidth>
                </wp14:sizeRelH>
                <wp14:sizeRelV relativeFrom="page">
                  <wp14:pctHeight>0</wp14:pctHeight>
                </wp14:sizeRelV>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position:absolute;z-index:-251660288;o:allowoverlap:true;o:allowincell:true;mso-position-horizontal-relative:text;margin-left:143.75pt;mso-position-horizontal:absolute;mso-position-vertical-relative:page;margin-top:450.50pt;mso-position-vertical:absolute;width:378.70pt;height:396.40pt;mso-wrap-distance-left:9.00pt;mso-wrap-distance-top:0.00pt;mso-wrap-distance-right:9.00pt;mso-wrap-distance-bottom:0.00pt;rotation:180;z-index:1;" stroked="f">
                <v:imagedata r:id="rId9" o:title=""/>
                <o:lock v:ext="edit" rotation="t"/>
              </v:shape>
            </w:pict>
          </mc:Fallback>
        </mc:AlternateContent>
      </w:r>
      <w:r>
        <w:br/>
      </w:r>
      <w:r>
        <w:br/>
      </w:r>
      <w:r>
        <w:br/>
      </w:r>
      <w:r/>
    </w:p>
    <w:p>
      <w:pPr>
        <w:pBdr/>
        <w:spacing/>
        <w:ind w:left="0"/>
        <w:jc w:val="center"/>
        <w:rPr/>
      </w:pPr>
      <w:r>
        <w:br/>
      </w:r>
      <w:r>
        <w:br/>
      </w:r>
      <w:r>
        <w:br/>
      </w:r>
      <w:r>
        <w:br/>
      </w:r>
      <w:r/>
    </w:p>
    <w:p>
      <w:pPr>
        <w:pBdr/>
        <w:spacing/>
        <w:ind w:left="0"/>
        <w:jc w:val="center"/>
        <w:rPr/>
      </w:pPr>
      <w:r/>
      <w:r/>
    </w:p>
    <w:p>
      <w:pPr>
        <w:pBdr/>
        <w:spacing/>
        <w:ind w:left="0"/>
        <w:jc w:val="center"/>
        <w:rPr/>
      </w:pPr>
      <w:r/>
      <w:r/>
    </w:p>
    <w:p>
      <w:pPr>
        <w:pBdr/>
        <w:spacing/>
        <w:ind w:left="0"/>
        <w:jc w:val="center"/>
        <w:rPr/>
      </w:pPr>
      <w:r>
        <w:t xml:space="preserve">Prepared By:</w:t>
      </w:r>
      <w:r/>
    </w:p>
    <w:p>
      <w:pPr>
        <w:pBdr/>
        <w:spacing/>
        <w:ind w:left="0"/>
        <w:jc w:val="center"/>
        <w:rPr>
          <w:b/>
          <w:bCs/>
          <w:sz w:val="28"/>
          <w:szCs w:val="28"/>
        </w:rPr>
      </w:pPr>
      <w:r>
        <w:rPr>
          <w:b/>
          <w:bCs/>
          <w:sz w:val="28"/>
          <w:szCs w:val="28"/>
        </w:rPr>
        <w:t xml:space="preserve">Lauren White</w:t>
      </w:r>
      <w:r>
        <w:rPr>
          <w:b/>
          <w:bCs/>
          <w:sz w:val="28"/>
          <w:szCs w:val="28"/>
        </w:rPr>
      </w:r>
    </w:p>
    <w:p>
      <w:pPr>
        <w:pBdr/>
        <w:spacing/>
        <w:ind w:left="0"/>
        <w:jc w:val="center"/>
        <w:rPr/>
      </w:pPr>
      <w:r>
        <w:t xml:space="preserve">President, NERV Industries</w:t>
      </w:r>
      <w:r/>
    </w:p>
    <w:p>
      <w:pPr>
        <w:pBdr/>
        <w:spacing/>
        <w:ind w:left="0"/>
        <w:jc w:val="center"/>
        <w:rPr/>
      </w:pPr>
      <w:r/>
      <w:r/>
    </w:p>
    <w:p>
      <w:pPr>
        <w:pBdr/>
        <w:spacing/>
        <w:ind w:left="0"/>
        <w:jc w:val="center"/>
        <w:rPr/>
      </w:pPr>
      <w:r/>
      <w:r/>
    </w:p>
    <w:p>
      <w:pPr>
        <w:pBdr/>
        <w:spacing/>
        <w:ind w:left="0"/>
        <w:jc w:val="center"/>
        <w:rPr/>
      </w:pPr>
      <w:r>
        <w:t xml:space="preserve">December 2, 2060</w:t>
      </w:r>
      <w:r/>
    </w:p>
    <w:p>
      <w:pPr>
        <w:pBdr/>
        <w:spacing/>
        <w:ind w:left="0"/>
        <w:jc w:val="center"/>
        <w:rPr/>
      </w:pPr>
      <w:r>
        <w:br w:type="page" w:clear="all"/>
      </w:r>
      <w:r/>
    </w:p>
    <w:p>
      <w:pPr>
        <w:pStyle w:val="734"/>
        <w:pBdr/>
        <w:spacing/>
        <w:ind/>
        <w:rPr/>
      </w:pPr>
      <w:r>
        <w:t xml:space="preserve">Executive Summary</w:t>
      </w:r>
      <w:r/>
    </w:p>
    <w:p>
      <w:pPr>
        <w:pBdr/>
        <w:spacing/>
        <w:ind w:firstLine="720"/>
        <w:rPr/>
      </w:pPr>
      <w:r>
        <w:t xml:space="preserve">NERV Industries is an innovative company specializing in the design, manufacturing, and distribution of high-quality robotics spare parts for a wide range of industries. Our mission is to provide rel</w:t>
      </w:r>
      <w:r>
        <w:t xml:space="preserve">iable, cost-effective components that enhance the performance and longevity of robotic systems. As we embark on this journey, we seek investment and strategic partnerships to fuel our growth and secure a competitive edge in the robotics spare parts market.</w:t>
      </w:r>
      <w:r/>
    </w:p>
    <w:p>
      <w:pPr>
        <w:pBdr/>
        <w:spacing/>
        <w:ind/>
        <w:rPr/>
      </w:pPr>
      <w:r/>
      <w:r/>
    </w:p>
    <w:p>
      <w:pPr>
        <w:pStyle w:val="734"/>
        <w:pBdr/>
        <w:spacing/>
        <w:ind/>
        <w:rPr/>
      </w:pPr>
      <w:r>
        <w:t xml:space="preserve">Business Description</w:t>
      </w:r>
      <w:r/>
    </w:p>
    <w:p>
      <w:pPr>
        <w:pBdr/>
        <w:spacing/>
        <w:ind w:firstLine="720"/>
        <w:rPr/>
      </w:pPr>
      <w:r>
        <w:t xml:space="preserve">NERV Industries was founded in 2030 by Leonard Anderson, an experienced engineer and entrepreneur with a passion for robotics and automation. Our company is headquartered at 101 Blue Hill, Maine 09801.</w:t>
      </w:r>
      <w:r/>
    </w:p>
    <w:p>
      <w:pPr>
        <w:pBdr/>
        <w:spacing/>
        <w:ind/>
        <w:rPr/>
      </w:pPr>
      <w:r/>
      <w:r/>
    </w:p>
    <w:p>
      <w:pPr>
        <w:pBdr/>
        <w:spacing/>
        <w:ind/>
        <w:rPr/>
      </w:pPr>
      <w:r>
        <w:t xml:space="preserve">At NERV Industries, we're dedicated to sol</w:t>
      </w:r>
      <w:r>
        <w:t xml:space="preserve">ving a critical challenge in the robotics industry – the availability of high-quality spare parts. Our core product offerings include precision-engineered gears, sensors, actuators, and other components designed to keep robots operating at peak efficiency.</w:t>
      </w:r>
      <w:r/>
    </w:p>
    <w:p>
      <w:pPr>
        <w:pBdr/>
        <w:spacing/>
        <w:ind/>
        <w:rPr/>
      </w:pPr>
      <w:r/>
      <w:r/>
    </w:p>
    <w:p>
      <w:pPr>
        <w:pStyle w:val="734"/>
        <w:pBdr/>
        <w:spacing/>
        <w:ind/>
        <w:rPr/>
      </w:pPr>
      <w:r>
        <w:t xml:space="preserve">Market Analysis</w:t>
      </w:r>
      <w:r/>
    </w:p>
    <w:p>
      <w:pPr>
        <w:pStyle w:val="735"/>
        <w:pBdr/>
        <w:spacing/>
        <w:ind/>
        <w:rPr/>
      </w:pPr>
      <w:r>
        <w:t xml:space="preserve">Market Overview</w:t>
      </w:r>
      <w:r/>
    </w:p>
    <w:p>
      <w:pPr>
        <w:pBdr/>
        <w:spacing/>
        <w:ind w:firstLine="720"/>
        <w:rPr/>
      </w:pPr>
      <w:r>
        <w:t xml:space="preserve">The global robotics market is projected to grow at a CAGR of 15% between 2060 and 2063, reaching an estimated value of $180 billion. This rapid growth is driven by increased automation in manufacturing, healthcare, logistics, and various other industries.</w:t>
      </w:r>
      <w:r/>
    </w:p>
    <w:p>
      <w:pPr>
        <w:pBdr/>
        <w:spacing/>
        <w:ind/>
        <w:rPr/>
      </w:pPr>
      <w:r/>
      <w:r/>
    </w:p>
    <w:p>
      <w:pPr>
        <w:pBdr/>
        <w:spacing/>
        <w:ind w:firstLine="720"/>
        <w:rPr/>
      </w:pPr>
      <w:r>
        <w:t xml:space="preserve">NERV Industries operates in </w:t>
      </w:r>
      <w:r>
        <w:t xml:space="preserve">the robotics spare parts sector, which is expected to reach $5.5 billion by 2065. Key drivers of this market include the aging robotic systems in various industries, the need for reduced downtime, and the growing adoption of robotics in emerging economies.</w:t>
      </w:r>
      <w:r/>
    </w:p>
    <w:p>
      <w:pPr>
        <w:pBdr/>
        <w:spacing/>
        <w:ind/>
        <w:rPr/>
      </w:pPr>
      <w:r/>
      <w:r/>
    </w:p>
    <w:p>
      <w:pPr>
        <w:pStyle w:val="735"/>
        <w:pBdr/>
        <w:spacing/>
        <w:ind/>
        <w:rPr/>
      </w:pPr>
      <w:r>
        <w:t xml:space="preserve">Competitive Landscape</w:t>
      </w:r>
      <w:r/>
    </w:p>
    <w:p>
      <w:pPr>
        <w:pBdr/>
        <w:spacing/>
        <w:ind w:firstLine="720"/>
        <w:rPr/>
      </w:pPr>
      <w:r>
        <w:t xml:space="preserve">In a highly competitive market, </w:t>
      </w:r>
      <w:r>
        <w:rPr>
          <w:b/>
          <w:bCs/>
        </w:rPr>
        <w:t xml:space="preserve">NERV Industries</w:t>
      </w:r>
      <w:r>
        <w:t xml:space="preserve"> faces key competitors such as Ro</w:t>
      </w:r>
      <w:r>
        <w:t xml:space="preserve">botronix Parts, TechBot Solutions, and MechWorks. However, what sets NERV Industries apart is our unwavering commitment to quality, innovation, and customer satisfaction. These core principles drive our approach to business and define our competitive edge.</w:t>
      </w:r>
      <w:r/>
    </w:p>
    <w:p>
      <w:pPr>
        <w:pBdr/>
        <w:spacing/>
        <w:ind w:firstLine="720"/>
        <w:rPr/>
      </w:pPr>
      <w:r/>
      <w:r/>
    </w:p>
    <w:p>
      <w:pPr>
        <w:pBdr/>
        <w:spacing/>
        <w:ind w:firstLine="720"/>
        <w:rPr/>
      </w:pPr>
      <w:r>
        <w:t xml:space="preserve">At NERV Industries, we don't just provide robotics spare parts; we deliver solutio</w:t>
      </w:r>
      <w:r>
        <w:t xml:space="preserve">ns that keep industries moving. We differentiate ourselves by consistently delivering products that meet and exceed industry standards. Quality control is at the heart of our operations, ensuring that our customers receive reliable and durable spare parts.</w:t>
      </w:r>
      <w:r/>
    </w:p>
    <w:p>
      <w:pPr>
        <w:pBdr/>
        <w:spacing/>
        <w:ind w:firstLine="720"/>
        <w:rPr/>
      </w:pPr>
      <w:r/>
      <w:r/>
    </w:p>
    <w:p>
      <w:pPr>
        <w:pBdr/>
        <w:spacing/>
        <w:ind w:firstLine="720"/>
        <w:rPr/>
      </w:pPr>
      <w:r>
        <w:t xml:space="preserve">Innovation is embedded in our DNA. We invest in research and development to stay ahead of the curve, constantly exploring new materials and </w:t>
      </w:r>
      <w:r>
        <w:t xml:space="preserve">technologies to enhance the performance of our products. This innovation extends not only to the components themselves but also to the processes we use in manufacturing.</w:t>
      </w:r>
      <w:r/>
    </w:p>
    <w:p>
      <w:pPr>
        <w:pBdr/>
        <w:spacing/>
        <w:ind w:firstLine="720"/>
        <w:rPr/>
      </w:pPr>
      <w:r/>
      <w:r/>
    </w:p>
    <w:p>
      <w:pPr>
        <w:pBdr/>
        <w:spacing/>
        <w:ind w:firstLine="720"/>
        <w:rPr/>
      </w:pPr>
      <w:r>
        <w:t xml:space="preserve">Moreover, our customer support is sec</w:t>
      </w:r>
      <w:r>
        <w:t xml:space="preserve">ond to none. We understand that downtime is costly in the robotics industry, and our responsive support team is available to assist clients with any issues or questions they may have. We believe that customer satisfaction is the cornerstone of our success.</w:t>
      </w:r>
      <w:r/>
    </w:p>
    <w:p>
      <w:pPr>
        <w:pBdr/>
        <w:spacing/>
        <w:ind w:firstLine="720"/>
        <w:rPr/>
      </w:pPr>
      <w:r/>
      <w:r/>
    </w:p>
    <w:p>
      <w:pPr>
        <w:pBdr/>
        <w:spacing/>
        <w:ind w:firstLine="720"/>
        <w:rPr/>
      </w:pPr>
      <w:r>
        <w:t xml:space="preserve">Our extensive network of distribution partners ensur</w:t>
      </w:r>
      <w:r>
        <w:t xml:space="preserve">es that our products reach clients across various industries, providing convenient access to our high-quality spare parts. This network, combined with our commitment to quality, makes NERV Industries a trusted and reliable partner in the robotics industry.</w:t>
      </w:r>
      <w:r/>
    </w:p>
    <w:p>
      <w:pPr>
        <w:pBdr/>
        <w:spacing/>
        <w:ind/>
        <w:rPr/>
      </w:pPr>
      <w:r/>
      <w:r/>
    </w:p>
    <w:p>
      <w:pPr>
        <w:pStyle w:val="734"/>
        <w:pBdr/>
        <w:spacing/>
        <w:ind/>
        <w:rPr/>
      </w:pPr>
      <w:r>
        <w:t xml:space="preserve">Products and Services</w:t>
      </w:r>
      <w:r/>
    </w:p>
    <w:p>
      <w:pPr>
        <w:pBdr/>
        <w:spacing/>
        <w:ind w:firstLine="720"/>
        <w:rPr/>
      </w:pPr>
      <w:r>
        <w:t xml:space="preserve">NERV Industries offers a comprehensive portfolio of robotics spare parts, designed to cater to the diverse needs of the industry. Our product range includes:</w:t>
      </w:r>
      <w:r/>
    </w:p>
    <w:p>
      <w:pPr>
        <w:pBdr/>
        <w:spacing/>
        <w:ind/>
        <w:rPr/>
      </w:pPr>
      <w:r/>
      <w:r/>
    </w:p>
    <w:p>
      <w:pPr>
        <w:pStyle w:val="743"/>
        <w:numPr>
          <w:ilvl w:val="0"/>
          <w:numId w:val="32"/>
        </w:numPr>
        <w:pBdr/>
        <w:spacing/>
        <w:ind/>
        <w:rPr>
          <w:b/>
          <w:bCs/>
        </w:rPr>
      </w:pPr>
      <w:r>
        <w:rPr>
          <w:b/>
          <w:bCs/>
        </w:rPr>
        <w:t xml:space="preserve">Precision Gears</w:t>
      </w:r>
      <w:r>
        <w:rPr>
          <w:b/>
          <w:bCs/>
        </w:rPr>
      </w:r>
    </w:p>
    <w:p>
      <w:pPr>
        <w:pBdr/>
        <w:spacing/>
        <w:ind w:left="720"/>
        <w:rPr/>
      </w:pPr>
      <w:r>
        <w:t xml:space="preserve">Our high-quality precision gears are engineered to facilitate smooth and efficie</w:t>
      </w:r>
      <w:r>
        <w:t xml:space="preserve">nt motion within robotics systems. They are meticulously designed to minimize wear and tear, ensuring the longevity of the robotic components they drive. Whether it's a factory automation system or a medical robot, our gears keep them operating seamlessly.</w:t>
      </w:r>
      <w:r/>
    </w:p>
    <w:p>
      <w:pPr>
        <w:pBdr/>
        <w:spacing/>
        <w:ind/>
        <w:rPr/>
      </w:pPr>
      <w:r/>
      <w:r/>
    </w:p>
    <w:p>
      <w:pPr>
        <w:pStyle w:val="743"/>
        <w:numPr>
          <w:ilvl w:val="0"/>
          <w:numId w:val="33"/>
        </w:numPr>
        <w:pBdr/>
        <w:spacing/>
        <w:ind/>
        <w:rPr>
          <w:b/>
          <w:bCs/>
        </w:rPr>
      </w:pPr>
      <w:r>
        <w:rPr>
          <w:b/>
          <w:bCs/>
        </w:rPr>
        <w:t xml:space="preserve">Sensors</w:t>
      </w:r>
      <w:r>
        <w:rPr>
          <w:b/>
          <w:bCs/>
        </w:rPr>
      </w:r>
    </w:p>
    <w:p>
      <w:pPr>
        <w:pBdr/>
        <w:spacing/>
        <w:ind w:left="720"/>
        <w:rPr/>
      </w:pPr>
      <w:r>
        <w:t xml:space="preserve">At the heart of modern robotics, our cutting-edge sensors play a pivotal role in accurate data collection and robotic na</w:t>
      </w:r>
      <w:r>
        <w:t xml:space="preserve">vigation. These sensors are designed to function reliably in a variety of environments, from harsh industrial settings to sensitive healthcare applications. The data they provide is critical for decision-making and ensures precise and safe robot operation.</w:t>
      </w:r>
      <w:r>
        <w:br/>
      </w:r>
      <w:r/>
    </w:p>
    <w:p>
      <w:pPr>
        <w:pStyle w:val="743"/>
        <w:numPr>
          <w:ilvl w:val="0"/>
          <w:numId w:val="34"/>
        </w:numPr>
        <w:pBdr/>
        <w:spacing/>
        <w:ind/>
        <w:rPr>
          <w:b/>
          <w:bCs/>
        </w:rPr>
      </w:pPr>
      <w:r>
        <w:rPr>
          <w:b/>
          <w:bCs/>
        </w:rPr>
        <w:t xml:space="preserve">Actuators</w:t>
      </w:r>
      <w:r>
        <w:rPr>
          <w:b/>
          <w:bCs/>
        </w:rPr>
      </w:r>
    </w:p>
    <w:p>
      <w:pPr>
        <w:pBdr/>
        <w:spacing/>
        <w:ind w:left="720"/>
        <w:rPr/>
      </w:pPr>
      <w:r>
        <w:t xml:space="preserve">Our powerful actuators are the driving force behind precise movements in robotic arms and limbs. Known for their d</w:t>
      </w:r>
      <w:r>
        <w:t xml:space="preserve">urability and precision, they are the muscle of many robotic systems. NERV Industries' actuators are trusted for their ability to withstand heavy workloads while maintaining accuracy and efficiency, making them the choice for mission-critical applications.</w:t>
      </w:r>
      <w:r/>
    </w:p>
    <w:p>
      <w:pPr>
        <w:pBdr/>
        <w:spacing/>
        <w:ind/>
        <w:rPr/>
      </w:pPr>
      <w:r/>
      <w:r/>
    </w:p>
    <w:p>
      <w:pPr>
        <w:pStyle w:val="743"/>
        <w:numPr>
          <w:ilvl w:val="0"/>
          <w:numId w:val="35"/>
        </w:numPr>
        <w:pBdr/>
        <w:spacing/>
        <w:ind/>
        <w:rPr>
          <w:b/>
          <w:bCs/>
        </w:rPr>
      </w:pPr>
      <w:r>
        <w:rPr>
          <w:b/>
          <w:bCs/>
        </w:rPr>
        <w:t xml:space="preserve">Controllers</w:t>
      </w:r>
      <w:r>
        <w:rPr>
          <w:b/>
          <w:bCs/>
        </w:rPr>
      </w:r>
    </w:p>
    <w:p>
      <w:pPr>
        <w:pBdr/>
        <w:spacing/>
        <w:ind w:left="720"/>
        <w:rPr/>
      </w:pPr>
      <w:r>
        <w:t xml:space="preserve">The brain of a robotic system, our </w:t>
      </w:r>
      <w:r>
        <w:t xml:space="preserve">advanced control units optimize performance, ensuring seamless communication between components. These controllers are designed to adapt to the specific requirements of different robotic applications, providing a central hub for coordination and operation.</w:t>
      </w:r>
      <w:r/>
    </w:p>
    <w:p>
      <w:pPr>
        <w:pBdr/>
        <w:spacing/>
        <w:ind/>
        <w:rPr/>
      </w:pPr>
      <w:r/>
      <w:r/>
    </w:p>
    <w:p>
      <w:pPr>
        <w:pBdr/>
        <w:spacing/>
        <w:ind w:firstLine="720"/>
        <w:rPr/>
      </w:pPr>
      <w:r>
        <w:t xml:space="preserve">These product categories collectively represent NERV Industries' dedication to delivering the essential components that keep robotic systems operating at peak performance.</w:t>
      </w:r>
      <w:r/>
    </w:p>
    <w:p>
      <w:pPr>
        <w:pBdr/>
        <w:spacing/>
        <w:ind/>
        <w:rPr/>
      </w:pPr>
      <w:r/>
      <w:r/>
    </w:p>
    <w:p>
      <w:pPr>
        <w:pStyle w:val="734"/>
        <w:pBdr/>
        <w:spacing/>
        <w:ind/>
        <w:rPr/>
      </w:pPr>
      <w:r>
        <w:t xml:space="preserve">Sales and Marketing Strategy</w:t>
      </w:r>
      <w:r/>
    </w:p>
    <w:p>
      <w:pPr>
        <w:pBdr/>
        <w:spacing/>
        <w:ind/>
        <w:rPr/>
      </w:pPr>
      <w:r>
        <w:t xml:space="preserve">NERV Industries' sales and marketing strategy is tailored to establish a strong online presence, boost brand awareness, and expand our reach:</w:t>
      </w:r>
      <w:r/>
    </w:p>
    <w:p>
      <w:pPr>
        <w:pBdr/>
        <w:spacing/>
        <w:ind/>
        <w:rPr/>
      </w:pPr>
      <w:r/>
      <w:r/>
    </w:p>
    <w:p>
      <w:pPr>
        <w:pStyle w:val="743"/>
        <w:numPr>
          <w:ilvl w:val="0"/>
          <w:numId w:val="37"/>
        </w:numPr>
        <w:pBdr/>
        <w:spacing/>
        <w:ind/>
        <w:rPr>
          <w:b/>
          <w:bCs/>
        </w:rPr>
      </w:pPr>
      <w:r>
        <w:rPr>
          <w:b/>
          <w:bCs/>
        </w:rPr>
        <w:t xml:space="preserve">E-commerce Platform</w:t>
      </w:r>
      <w:r>
        <w:rPr>
          <w:b/>
          <w:bCs/>
        </w:rPr>
      </w:r>
    </w:p>
    <w:p>
      <w:pPr>
        <w:pBdr/>
        <w:spacing/>
        <w:ind w:left="720"/>
        <w:rPr/>
      </w:pPr>
      <w:r>
        <w:t xml:space="preserve">Our user-friendly e-commerce platform will be the hub of our sales </w:t>
      </w:r>
      <w:r>
        <w:t xml:space="preserve">operations. Clients can easily browse our comprehensive product catalog, access technical specifications, and make secure online purchases. This platform simplifies the procurement process and ensures that our products are readily available to our clients.</w:t>
      </w:r>
      <w:r>
        <w:br/>
      </w:r>
      <w:r/>
    </w:p>
    <w:p>
      <w:pPr>
        <w:pStyle w:val="743"/>
        <w:numPr>
          <w:ilvl w:val="0"/>
          <w:numId w:val="38"/>
        </w:numPr>
        <w:pBdr/>
        <w:spacing/>
        <w:ind/>
        <w:rPr>
          <w:b/>
          <w:bCs/>
        </w:rPr>
      </w:pPr>
      <w:r>
        <w:rPr>
          <w:b/>
          <w:bCs/>
        </w:rPr>
        <w:t xml:space="preserve">Collaboration with Industry Trade Shows</w:t>
      </w:r>
      <w:r>
        <w:rPr>
          <w:b/>
          <w:bCs/>
        </w:rPr>
      </w:r>
    </w:p>
    <w:p>
      <w:pPr>
        <w:pBdr/>
        <w:spacing/>
        <w:ind w:left="720"/>
        <w:rPr/>
      </w:pPr>
      <w:r>
        <w:t xml:space="preserve">NERV Industries active</w:t>
      </w:r>
      <w:r>
        <w:t xml:space="preserve">ly participates in industry trade shows and exhibitions to showcase our products and interact with potential clients. These events not only provide valuable networking opportunities but also serve as platforms for introducing new innovations to the market.</w:t>
      </w:r>
      <w:r>
        <w:br/>
      </w:r>
      <w:r/>
    </w:p>
    <w:p>
      <w:pPr>
        <w:pStyle w:val="743"/>
        <w:numPr>
          <w:ilvl w:val="0"/>
          <w:numId w:val="39"/>
        </w:numPr>
        <w:pBdr/>
        <w:spacing/>
        <w:ind/>
        <w:rPr>
          <w:b/>
          <w:bCs/>
        </w:rPr>
      </w:pPr>
      <w:r>
        <w:rPr>
          <w:b/>
          <w:bCs/>
        </w:rPr>
        <w:t xml:space="preserve">Social Media Marketing</w:t>
      </w:r>
      <w:r>
        <w:rPr>
          <w:b/>
          <w:bCs/>
        </w:rPr>
      </w:r>
    </w:p>
    <w:p>
      <w:pPr>
        <w:pBdr/>
        <w:spacing/>
        <w:ind w:left="720"/>
        <w:rPr/>
      </w:pPr>
      <w:r>
        <w:t xml:space="preserve">Leveraging the power of</w:t>
      </w:r>
      <w:r>
        <w:t xml:space="preserve"> social media, we will engage with our audience, share industry insights, and promote our products. Through platforms like LinkedIn and Twitter, we'll establish NERV Industries as a thought leader and a go-to source for information on robotics spare parts.</w:t>
      </w:r>
      <w:r/>
    </w:p>
    <w:p>
      <w:pPr>
        <w:pBdr/>
        <w:spacing/>
        <w:ind/>
        <w:rPr/>
      </w:pPr>
      <w:r/>
      <w:r/>
    </w:p>
    <w:p>
      <w:pPr>
        <w:pStyle w:val="743"/>
        <w:numPr>
          <w:ilvl w:val="0"/>
          <w:numId w:val="40"/>
        </w:numPr>
        <w:pBdr/>
        <w:spacing/>
        <w:ind/>
        <w:rPr>
          <w:b/>
          <w:bCs/>
        </w:rPr>
      </w:pPr>
      <w:r>
        <w:rPr>
          <w:b/>
          <w:bCs/>
        </w:rPr>
        <w:t xml:space="preserve">Participation in B2B Networking Events</w:t>
      </w:r>
      <w:r>
        <w:rPr>
          <w:b/>
          <w:bCs/>
        </w:rPr>
      </w:r>
    </w:p>
    <w:p>
      <w:pPr>
        <w:pBdr/>
        <w:spacing/>
        <w:ind w:left="720"/>
        <w:rPr/>
      </w:pPr>
      <w:r>
        <w:t xml:space="preserve">Building strong B2B relationships is vital. NERV Indust</w:t>
      </w:r>
      <w:r>
        <w:t xml:space="preserve">ries actively engages in B2B networking events, fostering partnerships with other businesses in the robotics ecosystem, from manufacturers to integrators. These relationships will enhance our distribution network and reinforce our presence in the industry.</w:t>
      </w:r>
      <w:r/>
    </w:p>
    <w:p>
      <w:pPr>
        <w:pBdr/>
        <w:spacing/>
        <w:ind/>
        <w:rPr/>
      </w:pPr>
      <w:r/>
      <w:r/>
    </w:p>
    <w:p>
      <w:pPr>
        <w:pBdr/>
        <w:spacing/>
        <w:ind w:firstLine="720"/>
        <w:rPr/>
      </w:pPr>
      <w:r>
        <w:t xml:space="preserve">By implementing these strategies, NERV Industries aims to increase brand visibility and accessibility, ultimately expanding our market share and solidifying our position as a key player in the robotics spare parts industry.</w:t>
      </w:r>
      <w:r/>
    </w:p>
    <w:p>
      <w:pPr>
        <w:pBdr/>
        <w:spacing/>
        <w:ind/>
        <w:rPr/>
      </w:pPr>
      <w:r>
        <w:br/>
      </w:r>
      <w:r/>
    </w:p>
    <w:p>
      <w:pPr>
        <w:pBdr/>
        <w:spacing/>
        <w:ind/>
        <w:rPr/>
      </w:pPr>
      <w:r/>
      <w:r/>
    </w:p>
    <w:p>
      <w:pPr>
        <w:pBdr/>
        <w:spacing/>
        <w:ind/>
        <w:rPr/>
      </w:pPr>
      <w:r/>
      <w:r/>
    </w:p>
    <w:p>
      <w:pPr>
        <w:pBdr/>
        <w:spacing/>
        <w:ind/>
        <w:rPr/>
      </w:pPr>
      <w:r/>
      <w:r/>
    </w:p>
    <w:p>
      <w:pPr>
        <w:pBdr/>
        <w:spacing/>
        <w:ind/>
        <w:rPr/>
      </w:pPr>
      <w:r/>
      <w:r/>
    </w:p>
    <w:p>
      <w:pPr>
        <w:pBdr/>
        <w:spacing/>
        <w:ind/>
        <w:rPr/>
      </w:pPr>
      <w:r/>
      <w:r/>
    </w:p>
    <w:p>
      <w:pPr>
        <w:pBdr/>
        <w:spacing/>
        <w:ind/>
        <w:rPr/>
      </w:pPr>
      <w:r/>
      <w:r/>
    </w:p>
    <w:p>
      <w:pPr>
        <w:pBdr/>
        <w:spacing/>
        <w:ind/>
        <w:rPr/>
      </w:pPr>
      <w:r/>
      <w:r/>
    </w:p>
    <w:p>
      <w:pPr>
        <w:pBdr/>
        <w:spacing/>
        <w:ind/>
        <w:rPr/>
      </w:pPr>
      <w:r/>
      <w:r/>
    </w:p>
    <w:p>
      <w:pPr>
        <w:pBdr/>
        <w:spacing/>
        <w:ind/>
        <w:rPr/>
      </w:pPr>
      <w:r/>
      <w:r/>
    </w:p>
    <w:p>
      <w:pPr>
        <w:pStyle w:val="734"/>
        <w:pBdr/>
        <w:spacing/>
        <w:ind/>
        <w:rPr/>
      </w:pPr>
      <w:r>
        <w:t xml:space="preserve">Financial Projections</w:t>
      </w:r>
      <w:r/>
    </w:p>
    <w:p>
      <w:pPr>
        <w:pBdr/>
        <w:spacing/>
        <w:ind/>
        <w:rPr/>
      </w:pPr>
      <w:r/>
      <w:r/>
    </w:p>
    <w:p>
      <w:pPr>
        <w:pBdr/>
        <w:spacing/>
        <w:ind/>
        <w:rPr/>
      </w:pPr>
      <w:r>
        <w:t xml:space="preserve">Table 1: Financial Projections (in USD)</w:t>
      </w:r>
      <w:r/>
    </w:p>
    <w:p>
      <w:pPr>
        <w:pBdr/>
        <w:spacing/>
        <w:ind/>
        <w:rPr/>
      </w:pPr>
      <w:r/>
      <w:r/>
    </w:p>
    <w:tbl>
      <w:tblPr>
        <w:tblW w:w="0" w:type="auto"/>
        <w:tblInd w:w="350" w:type="dxa"/>
        <w:tblBorders/>
        <w:tblLayout w:type="fixed"/>
        <w:tblCellMar>
          <w:left w:w="15" w:type="dxa"/>
          <w:top w:w="15" w:type="dxa"/>
          <w:right w:w="15" w:type="dxa"/>
          <w:bottom w:w="15" w:type="dxa"/>
        </w:tblCellMar>
        <w:tblLook w:val="04A0" w:firstRow="1" w:lastRow="0" w:firstColumn="1" w:lastColumn="0" w:noHBand="0" w:noVBand="1"/>
      </w:tblPr>
      <w:tblGrid>
        <w:gridCol w:w="1620"/>
        <w:gridCol w:w="2340"/>
        <w:gridCol w:w="2340"/>
        <w:gridCol w:w="2340"/>
      </w:tblGrid>
      <w:tr>
        <w:trPr>
          <w:trHeight w:val="288"/>
        </w:trPr>
        <w:tc>
          <w:tcPr>
            <w:shd w:val="clear" w:color="auto" w:fill="auto"/>
            <w:tcBorders>
              <w:top w:val="single" w:color="000000" w:sz="8" w:space="0"/>
              <w:left w:val="single" w:color="000000" w:sz="8" w:space="0"/>
              <w:bottom w:val="single" w:color="000000" w:sz="8" w:space="0"/>
              <w:right w:val="single" w:color="000000" w:sz="8" w:space="0"/>
            </w:tcBorders>
            <w:tcMar>
              <w:left w:w="100" w:type="dxa"/>
              <w:top w:w="100" w:type="dxa"/>
              <w:right w:w="100" w:type="dxa"/>
              <w:bottom w:w="100" w:type="dxa"/>
            </w:tcMar>
            <w:tcW w:w="1620" w:type="dxa"/>
            <w:vAlign w:val="center"/>
            <w:textDirection w:val="lrTb"/>
            <w:noWrap w:val="false"/>
          </w:tcPr>
          <w:p>
            <w:pPr>
              <w:pBdr/>
              <w:spacing/>
              <w:ind w:left="0"/>
              <w:jc w:val="center"/>
              <w:rPr/>
            </w:pPr>
            <w:r>
              <w:t xml:space="preserve">Year</w:t>
            </w:r>
            <w:r/>
          </w:p>
        </w:tc>
        <w:tc>
          <w:tcPr>
            <w:shd w:val="clear" w:color="auto" w:fill="auto"/>
            <w:tcBorders>
              <w:top w:val="single" w:color="000000" w:sz="8" w:space="0"/>
              <w:left w:val="single" w:color="000000" w:sz="8" w:space="0"/>
              <w:bottom w:val="single" w:color="000000" w:sz="8" w:space="0"/>
              <w:right w:val="single" w:color="000000" w:sz="8" w:space="0"/>
            </w:tcBorders>
            <w:tcMar>
              <w:left w:w="100" w:type="dxa"/>
              <w:top w:w="100" w:type="dxa"/>
              <w:right w:w="100" w:type="dxa"/>
              <w:bottom w:w="100" w:type="dxa"/>
            </w:tcMar>
            <w:tcW w:w="2340" w:type="dxa"/>
            <w:vAlign w:val="center"/>
            <w:textDirection w:val="lrTb"/>
            <w:noWrap w:val="false"/>
          </w:tcPr>
          <w:p>
            <w:pPr>
              <w:pBdr/>
              <w:spacing/>
              <w:ind w:left="0"/>
              <w:jc w:val="center"/>
              <w:rPr/>
            </w:pPr>
            <w:r>
              <w:t xml:space="preserve">Revenue</w:t>
            </w:r>
            <w:r/>
          </w:p>
        </w:tc>
        <w:tc>
          <w:tcPr>
            <w:shd w:val="clear" w:color="auto" w:fill="auto"/>
            <w:tcBorders>
              <w:top w:val="single" w:color="000000" w:sz="8" w:space="0"/>
              <w:left w:val="single" w:color="000000" w:sz="8" w:space="0"/>
              <w:bottom w:val="single" w:color="000000" w:sz="8" w:space="0"/>
              <w:right w:val="single" w:color="000000" w:sz="8" w:space="0"/>
            </w:tcBorders>
            <w:tcMar>
              <w:left w:w="100" w:type="dxa"/>
              <w:top w:w="100" w:type="dxa"/>
              <w:right w:w="100" w:type="dxa"/>
              <w:bottom w:w="100" w:type="dxa"/>
            </w:tcMar>
            <w:tcW w:w="2340" w:type="dxa"/>
            <w:vAlign w:val="center"/>
            <w:textDirection w:val="lrTb"/>
            <w:noWrap w:val="false"/>
          </w:tcPr>
          <w:p>
            <w:pPr>
              <w:pBdr/>
              <w:spacing/>
              <w:ind w:left="0"/>
              <w:jc w:val="center"/>
              <w:rPr/>
            </w:pPr>
            <w:r>
              <w:t xml:space="preserve">Operating Expenses</w:t>
            </w:r>
            <w:r/>
          </w:p>
        </w:tc>
        <w:tc>
          <w:tcPr>
            <w:shd w:val="clear" w:color="auto" w:fill="auto"/>
            <w:tcBorders>
              <w:top w:val="single" w:color="000000" w:sz="8" w:space="0"/>
              <w:left w:val="single" w:color="000000" w:sz="8" w:space="0"/>
              <w:bottom w:val="single" w:color="000000" w:sz="8" w:space="0"/>
              <w:right w:val="single" w:color="000000" w:sz="8" w:space="0"/>
            </w:tcBorders>
            <w:tcMar>
              <w:left w:w="100" w:type="dxa"/>
              <w:top w:w="100" w:type="dxa"/>
              <w:right w:w="100" w:type="dxa"/>
              <w:bottom w:w="100" w:type="dxa"/>
            </w:tcMar>
            <w:tcW w:w="2340" w:type="dxa"/>
            <w:vAlign w:val="center"/>
            <w:textDirection w:val="lrTb"/>
            <w:noWrap w:val="false"/>
          </w:tcPr>
          <w:p>
            <w:pPr>
              <w:pBdr/>
              <w:spacing/>
              <w:ind w:left="0"/>
              <w:jc w:val="center"/>
              <w:rPr/>
            </w:pPr>
            <w:r>
              <w:t xml:space="preserve">Operating Expenses</w:t>
            </w:r>
            <w:r/>
          </w:p>
        </w:tc>
      </w:tr>
      <w:tr>
        <w:trPr>
          <w:trHeight w:val="288"/>
        </w:trPr>
        <w:tc>
          <w:tcPr>
            <w:shd w:val="clear" w:color="auto" w:fill="auto"/>
            <w:tcBorders>
              <w:top w:val="single" w:color="000000" w:sz="8" w:space="0"/>
              <w:left w:val="single" w:color="000000" w:sz="8" w:space="0"/>
              <w:bottom w:val="single" w:color="000000" w:sz="8" w:space="0"/>
              <w:right w:val="single" w:color="000000" w:sz="8" w:space="0"/>
            </w:tcBorders>
            <w:tcMar>
              <w:left w:w="100" w:type="dxa"/>
              <w:top w:w="100" w:type="dxa"/>
              <w:right w:w="100" w:type="dxa"/>
              <w:bottom w:w="100" w:type="dxa"/>
            </w:tcMar>
            <w:tcW w:w="1620" w:type="dxa"/>
            <w:vAlign w:val="center"/>
            <w:textDirection w:val="lrTb"/>
            <w:noWrap w:val="false"/>
          </w:tcPr>
          <w:p>
            <w:pPr>
              <w:pBdr/>
              <w:spacing/>
              <w:ind w:left="0"/>
              <w:jc w:val="center"/>
              <w:rPr/>
            </w:pPr>
            <w:r>
              <w:t xml:space="preserve">2060(Est)</w:t>
            </w:r>
            <w:r/>
          </w:p>
        </w:tc>
        <w:tc>
          <w:tcPr>
            <w:shd w:val="clear" w:color="auto" w:fill="auto"/>
            <w:tcBorders>
              <w:top w:val="single" w:color="000000" w:sz="8" w:space="0"/>
              <w:left w:val="single" w:color="000000" w:sz="8" w:space="0"/>
              <w:bottom w:val="single" w:color="000000" w:sz="8" w:space="0"/>
              <w:right w:val="single" w:color="000000" w:sz="8" w:space="0"/>
            </w:tcBorders>
            <w:tcMar>
              <w:left w:w="100" w:type="dxa"/>
              <w:top w:w="100" w:type="dxa"/>
              <w:right w:w="100" w:type="dxa"/>
              <w:bottom w:w="100" w:type="dxa"/>
            </w:tcMar>
            <w:tcW w:w="2340" w:type="dxa"/>
            <w:vAlign w:val="center"/>
            <w:textDirection w:val="lrTb"/>
            <w:noWrap w:val="false"/>
          </w:tcPr>
          <w:p>
            <w:pPr>
              <w:pBdr/>
              <w:spacing/>
              <w:ind w:left="0"/>
              <w:jc w:val="center"/>
              <w:rPr/>
            </w:pPr>
            <w:r>
              <w:t xml:space="preserve">$1,200,000</w:t>
            </w:r>
            <w:r/>
          </w:p>
        </w:tc>
        <w:tc>
          <w:tcPr>
            <w:shd w:val="clear" w:color="auto" w:fill="auto"/>
            <w:tcBorders>
              <w:top w:val="single" w:color="000000" w:sz="8" w:space="0"/>
              <w:left w:val="single" w:color="000000" w:sz="8" w:space="0"/>
              <w:bottom w:val="single" w:color="000000" w:sz="8" w:space="0"/>
              <w:right w:val="single" w:color="000000" w:sz="8" w:space="0"/>
            </w:tcBorders>
            <w:tcMar>
              <w:left w:w="100" w:type="dxa"/>
              <w:top w:w="100" w:type="dxa"/>
              <w:right w:w="100" w:type="dxa"/>
              <w:bottom w:w="100" w:type="dxa"/>
            </w:tcMar>
            <w:tcW w:w="2340" w:type="dxa"/>
            <w:vAlign w:val="center"/>
            <w:textDirection w:val="lrTb"/>
            <w:noWrap w:val="false"/>
          </w:tcPr>
          <w:p>
            <w:pPr>
              <w:pBdr/>
              <w:spacing/>
              <w:ind w:left="0"/>
              <w:jc w:val="center"/>
              <w:rPr/>
            </w:pPr>
            <w:r>
              <w:t xml:space="preserve">$950,000</w:t>
            </w:r>
            <w:r/>
          </w:p>
        </w:tc>
        <w:tc>
          <w:tcPr>
            <w:shd w:val="clear" w:color="auto" w:fill="auto"/>
            <w:tcBorders>
              <w:top w:val="single" w:color="000000" w:sz="8" w:space="0"/>
              <w:left w:val="single" w:color="000000" w:sz="8" w:space="0"/>
              <w:bottom w:val="single" w:color="000000" w:sz="8" w:space="0"/>
              <w:right w:val="single" w:color="000000" w:sz="8" w:space="0"/>
            </w:tcBorders>
            <w:tcMar>
              <w:left w:w="100" w:type="dxa"/>
              <w:top w:w="100" w:type="dxa"/>
              <w:right w:w="100" w:type="dxa"/>
              <w:bottom w:w="100" w:type="dxa"/>
            </w:tcMar>
            <w:tcW w:w="2340" w:type="dxa"/>
            <w:vAlign w:val="center"/>
            <w:textDirection w:val="lrTb"/>
            <w:noWrap w:val="false"/>
          </w:tcPr>
          <w:p>
            <w:pPr>
              <w:pBdr/>
              <w:spacing/>
              <w:ind w:left="0"/>
              <w:jc w:val="center"/>
              <w:rPr/>
            </w:pPr>
            <w:r>
              <w:t xml:space="preserve">$250,000</w:t>
            </w:r>
            <w:r/>
          </w:p>
        </w:tc>
      </w:tr>
      <w:tr>
        <w:trPr>
          <w:trHeight w:val="288"/>
        </w:trPr>
        <w:tc>
          <w:tcPr>
            <w:shd w:val="clear" w:color="auto" w:fill="auto"/>
            <w:tcBorders>
              <w:top w:val="single" w:color="000000" w:sz="8" w:space="0"/>
              <w:left w:val="single" w:color="000000" w:sz="8" w:space="0"/>
              <w:bottom w:val="single" w:color="000000" w:sz="8" w:space="0"/>
              <w:right w:val="single" w:color="000000" w:sz="8" w:space="0"/>
            </w:tcBorders>
            <w:tcMar>
              <w:left w:w="100" w:type="dxa"/>
              <w:top w:w="100" w:type="dxa"/>
              <w:right w:w="100" w:type="dxa"/>
              <w:bottom w:w="100" w:type="dxa"/>
            </w:tcMar>
            <w:tcW w:w="1620" w:type="dxa"/>
            <w:vAlign w:val="center"/>
            <w:textDirection w:val="lrTb"/>
            <w:noWrap w:val="false"/>
          </w:tcPr>
          <w:p>
            <w:pPr>
              <w:pBdr/>
              <w:spacing/>
              <w:ind w:left="0"/>
              <w:jc w:val="center"/>
              <w:rPr/>
            </w:pPr>
            <w:r>
              <w:t xml:space="preserve">2061(Est)</w:t>
            </w:r>
            <w:r/>
          </w:p>
        </w:tc>
        <w:tc>
          <w:tcPr>
            <w:shd w:val="clear" w:color="auto" w:fill="auto"/>
            <w:tcBorders>
              <w:top w:val="single" w:color="000000" w:sz="8" w:space="0"/>
              <w:left w:val="single" w:color="000000" w:sz="8" w:space="0"/>
              <w:bottom w:val="single" w:color="000000" w:sz="8" w:space="0"/>
              <w:right w:val="single" w:color="000000" w:sz="8" w:space="0"/>
            </w:tcBorders>
            <w:tcMar>
              <w:left w:w="100" w:type="dxa"/>
              <w:top w:w="100" w:type="dxa"/>
              <w:right w:w="100" w:type="dxa"/>
              <w:bottom w:w="100" w:type="dxa"/>
            </w:tcMar>
            <w:tcW w:w="2340" w:type="dxa"/>
            <w:vAlign w:val="center"/>
            <w:textDirection w:val="lrTb"/>
            <w:noWrap w:val="false"/>
          </w:tcPr>
          <w:p>
            <w:pPr>
              <w:pBdr/>
              <w:spacing/>
              <w:ind w:left="0"/>
              <w:jc w:val="center"/>
              <w:rPr/>
            </w:pPr>
            <w:r>
              <w:t xml:space="preserve">$2,300,000</w:t>
            </w:r>
            <w:r/>
          </w:p>
        </w:tc>
        <w:tc>
          <w:tcPr>
            <w:shd w:val="clear" w:color="auto" w:fill="auto"/>
            <w:tcBorders>
              <w:top w:val="single" w:color="000000" w:sz="8" w:space="0"/>
              <w:left w:val="single" w:color="000000" w:sz="8" w:space="0"/>
              <w:bottom w:val="single" w:color="000000" w:sz="8" w:space="0"/>
              <w:right w:val="single" w:color="000000" w:sz="8" w:space="0"/>
            </w:tcBorders>
            <w:tcMar>
              <w:left w:w="100" w:type="dxa"/>
              <w:top w:w="100" w:type="dxa"/>
              <w:right w:w="100" w:type="dxa"/>
              <w:bottom w:w="100" w:type="dxa"/>
            </w:tcMar>
            <w:tcW w:w="2340" w:type="dxa"/>
            <w:vAlign w:val="center"/>
            <w:textDirection w:val="lrTb"/>
            <w:noWrap w:val="false"/>
          </w:tcPr>
          <w:p>
            <w:pPr>
              <w:pBdr/>
              <w:spacing/>
              <w:ind w:left="0"/>
              <w:jc w:val="center"/>
              <w:rPr/>
            </w:pPr>
            <w:r>
              <w:t xml:space="preserve">$1,500,000</w:t>
            </w:r>
            <w:r/>
          </w:p>
        </w:tc>
        <w:tc>
          <w:tcPr>
            <w:shd w:val="clear" w:color="auto" w:fill="auto"/>
            <w:tcBorders>
              <w:top w:val="single" w:color="000000" w:sz="8" w:space="0"/>
              <w:left w:val="single" w:color="000000" w:sz="8" w:space="0"/>
              <w:bottom w:val="single" w:color="000000" w:sz="8" w:space="0"/>
              <w:right w:val="single" w:color="000000" w:sz="8" w:space="0"/>
            </w:tcBorders>
            <w:tcMar>
              <w:left w:w="100" w:type="dxa"/>
              <w:top w:w="100" w:type="dxa"/>
              <w:right w:w="100" w:type="dxa"/>
              <w:bottom w:w="100" w:type="dxa"/>
            </w:tcMar>
            <w:tcW w:w="2340" w:type="dxa"/>
            <w:vAlign w:val="center"/>
            <w:textDirection w:val="lrTb"/>
            <w:noWrap w:val="false"/>
          </w:tcPr>
          <w:p>
            <w:pPr>
              <w:pBdr/>
              <w:spacing/>
              <w:ind w:left="0"/>
              <w:jc w:val="center"/>
              <w:rPr/>
            </w:pPr>
            <w:r>
              <w:t xml:space="preserve">$800,000</w:t>
            </w:r>
            <w:r/>
          </w:p>
        </w:tc>
      </w:tr>
      <w:tr>
        <w:trPr>
          <w:trHeight w:val="288"/>
        </w:trPr>
        <w:tc>
          <w:tcPr>
            <w:shd w:val="clear" w:color="auto" w:fill="auto"/>
            <w:tcBorders>
              <w:top w:val="single" w:color="000000" w:sz="8" w:space="0"/>
              <w:left w:val="single" w:color="000000" w:sz="8" w:space="0"/>
              <w:bottom w:val="single" w:color="000000" w:sz="8" w:space="0"/>
              <w:right w:val="single" w:color="000000" w:sz="8" w:space="0"/>
            </w:tcBorders>
            <w:tcMar>
              <w:left w:w="100" w:type="dxa"/>
              <w:top w:w="100" w:type="dxa"/>
              <w:right w:w="100" w:type="dxa"/>
              <w:bottom w:w="100" w:type="dxa"/>
            </w:tcMar>
            <w:tcW w:w="1620" w:type="dxa"/>
            <w:vAlign w:val="center"/>
            <w:textDirection w:val="lrTb"/>
            <w:noWrap w:val="false"/>
          </w:tcPr>
          <w:p>
            <w:pPr>
              <w:pBdr/>
              <w:spacing/>
              <w:ind w:left="0"/>
              <w:jc w:val="center"/>
              <w:rPr/>
            </w:pPr>
            <w:r>
              <w:t xml:space="preserve">2062(Est)</w:t>
            </w:r>
            <w:r/>
          </w:p>
        </w:tc>
        <w:tc>
          <w:tcPr>
            <w:shd w:val="clear" w:color="auto" w:fill="auto"/>
            <w:tcBorders>
              <w:top w:val="single" w:color="000000" w:sz="8" w:space="0"/>
              <w:left w:val="single" w:color="000000" w:sz="8" w:space="0"/>
              <w:bottom w:val="single" w:color="000000" w:sz="8" w:space="0"/>
              <w:right w:val="single" w:color="000000" w:sz="8" w:space="0"/>
            </w:tcBorders>
            <w:tcMar>
              <w:left w:w="100" w:type="dxa"/>
              <w:top w:w="100" w:type="dxa"/>
              <w:right w:w="100" w:type="dxa"/>
              <w:bottom w:w="100" w:type="dxa"/>
            </w:tcMar>
            <w:tcW w:w="2340" w:type="dxa"/>
            <w:vAlign w:val="center"/>
            <w:textDirection w:val="lrTb"/>
            <w:noWrap w:val="false"/>
          </w:tcPr>
          <w:p>
            <w:pPr>
              <w:pBdr/>
              <w:spacing/>
              <w:ind w:left="0"/>
              <w:jc w:val="center"/>
              <w:rPr/>
            </w:pPr>
            <w:r>
              <w:t xml:space="preserve">$3,800,000</w:t>
            </w:r>
            <w:r/>
          </w:p>
        </w:tc>
        <w:tc>
          <w:tcPr>
            <w:shd w:val="clear" w:color="auto" w:fill="auto"/>
            <w:tcBorders>
              <w:top w:val="single" w:color="000000" w:sz="8" w:space="0"/>
              <w:left w:val="single" w:color="000000" w:sz="8" w:space="0"/>
              <w:bottom w:val="single" w:color="000000" w:sz="8" w:space="0"/>
              <w:right w:val="single" w:color="000000" w:sz="8" w:space="0"/>
            </w:tcBorders>
            <w:tcMar>
              <w:left w:w="100" w:type="dxa"/>
              <w:top w:w="100" w:type="dxa"/>
              <w:right w:w="100" w:type="dxa"/>
              <w:bottom w:w="100" w:type="dxa"/>
            </w:tcMar>
            <w:tcW w:w="2340" w:type="dxa"/>
            <w:vAlign w:val="center"/>
            <w:textDirection w:val="lrTb"/>
            <w:noWrap w:val="false"/>
          </w:tcPr>
          <w:p>
            <w:pPr>
              <w:pBdr/>
              <w:spacing/>
              <w:ind w:left="0"/>
              <w:jc w:val="center"/>
              <w:rPr/>
            </w:pPr>
            <w:r>
              <w:t xml:space="preserve">$2,000,000</w:t>
            </w:r>
            <w:r/>
          </w:p>
        </w:tc>
        <w:tc>
          <w:tcPr>
            <w:shd w:val="clear" w:color="auto" w:fill="auto"/>
            <w:tcBorders>
              <w:top w:val="single" w:color="000000" w:sz="8" w:space="0"/>
              <w:left w:val="single" w:color="000000" w:sz="8" w:space="0"/>
              <w:bottom w:val="single" w:color="000000" w:sz="8" w:space="0"/>
              <w:right w:val="single" w:color="000000" w:sz="8" w:space="0"/>
            </w:tcBorders>
            <w:tcMar>
              <w:left w:w="100" w:type="dxa"/>
              <w:top w:w="100" w:type="dxa"/>
              <w:right w:w="100" w:type="dxa"/>
              <w:bottom w:w="100" w:type="dxa"/>
            </w:tcMar>
            <w:tcW w:w="2340" w:type="dxa"/>
            <w:vAlign w:val="center"/>
            <w:textDirection w:val="lrTb"/>
            <w:noWrap w:val="false"/>
          </w:tcPr>
          <w:p>
            <w:pPr>
              <w:pBdr/>
              <w:spacing/>
              <w:ind w:left="0"/>
              <w:jc w:val="center"/>
              <w:rPr/>
            </w:pPr>
            <w:r>
              <w:t xml:space="preserve">$1,800,000</w:t>
            </w:r>
            <w:r/>
          </w:p>
        </w:tc>
      </w:tr>
      <w:tr>
        <w:trPr>
          <w:trHeight w:val="288"/>
        </w:trPr>
        <w:tc>
          <w:tcPr>
            <w:shd w:val="clear" w:color="auto" w:fill="auto"/>
            <w:tcBorders>
              <w:top w:val="single" w:color="000000" w:sz="8" w:space="0"/>
              <w:left w:val="single" w:color="000000" w:sz="8" w:space="0"/>
              <w:bottom w:val="single" w:color="000000" w:sz="8" w:space="0"/>
              <w:right w:val="single" w:color="000000" w:sz="8" w:space="0"/>
            </w:tcBorders>
            <w:tcMar>
              <w:left w:w="100" w:type="dxa"/>
              <w:top w:w="100" w:type="dxa"/>
              <w:right w:w="100" w:type="dxa"/>
              <w:bottom w:w="100" w:type="dxa"/>
            </w:tcMar>
            <w:tcW w:w="1620" w:type="dxa"/>
            <w:vAlign w:val="center"/>
            <w:textDirection w:val="lrTb"/>
            <w:noWrap w:val="false"/>
          </w:tcPr>
          <w:p>
            <w:pPr>
              <w:pBdr/>
              <w:spacing/>
              <w:ind w:left="0"/>
              <w:jc w:val="center"/>
              <w:rPr/>
            </w:pPr>
            <w:r>
              <w:t xml:space="preserve">2063(Est)</w:t>
            </w:r>
            <w:r/>
          </w:p>
        </w:tc>
        <w:tc>
          <w:tcPr>
            <w:shd w:val="clear" w:color="auto" w:fill="auto"/>
            <w:tcBorders>
              <w:top w:val="single" w:color="000000" w:sz="8" w:space="0"/>
              <w:left w:val="single" w:color="000000" w:sz="8" w:space="0"/>
              <w:bottom w:val="single" w:color="000000" w:sz="8" w:space="0"/>
              <w:right w:val="single" w:color="000000" w:sz="8" w:space="0"/>
            </w:tcBorders>
            <w:tcMar>
              <w:left w:w="100" w:type="dxa"/>
              <w:top w:w="100" w:type="dxa"/>
              <w:right w:w="100" w:type="dxa"/>
              <w:bottom w:w="100" w:type="dxa"/>
            </w:tcMar>
            <w:tcW w:w="2340" w:type="dxa"/>
            <w:vAlign w:val="center"/>
            <w:textDirection w:val="lrTb"/>
            <w:noWrap w:val="false"/>
          </w:tcPr>
          <w:p>
            <w:pPr>
              <w:pBdr/>
              <w:spacing/>
              <w:ind w:left="0"/>
              <w:jc w:val="center"/>
              <w:rPr/>
            </w:pPr>
            <w:r>
              <w:t xml:space="preserve">$5,500,000</w:t>
            </w:r>
            <w:r/>
          </w:p>
        </w:tc>
        <w:tc>
          <w:tcPr>
            <w:shd w:val="clear" w:color="auto" w:fill="auto"/>
            <w:tcBorders>
              <w:top w:val="single" w:color="000000" w:sz="8" w:space="0"/>
              <w:left w:val="single" w:color="000000" w:sz="8" w:space="0"/>
              <w:bottom w:val="single" w:color="000000" w:sz="8" w:space="0"/>
              <w:right w:val="single" w:color="000000" w:sz="8" w:space="0"/>
            </w:tcBorders>
            <w:tcMar>
              <w:left w:w="100" w:type="dxa"/>
              <w:top w:w="100" w:type="dxa"/>
              <w:right w:w="100" w:type="dxa"/>
              <w:bottom w:w="100" w:type="dxa"/>
            </w:tcMar>
            <w:tcW w:w="2340" w:type="dxa"/>
            <w:vAlign w:val="center"/>
            <w:textDirection w:val="lrTb"/>
            <w:noWrap w:val="false"/>
          </w:tcPr>
          <w:p>
            <w:pPr>
              <w:pBdr/>
              <w:spacing/>
              <w:ind w:left="0"/>
              <w:jc w:val="center"/>
              <w:rPr/>
            </w:pPr>
            <w:r>
              <w:t xml:space="preserve">$2,300,000</w:t>
            </w:r>
            <w:r/>
          </w:p>
        </w:tc>
        <w:tc>
          <w:tcPr>
            <w:shd w:val="clear" w:color="auto" w:fill="auto"/>
            <w:tcBorders>
              <w:top w:val="single" w:color="000000" w:sz="8" w:space="0"/>
              <w:left w:val="single" w:color="000000" w:sz="8" w:space="0"/>
              <w:bottom w:val="single" w:color="000000" w:sz="8" w:space="0"/>
              <w:right w:val="single" w:color="000000" w:sz="8" w:space="0"/>
            </w:tcBorders>
            <w:tcMar>
              <w:left w:w="100" w:type="dxa"/>
              <w:top w:w="100" w:type="dxa"/>
              <w:right w:w="100" w:type="dxa"/>
              <w:bottom w:w="100" w:type="dxa"/>
            </w:tcMar>
            <w:tcW w:w="2340" w:type="dxa"/>
            <w:vAlign w:val="center"/>
            <w:textDirection w:val="lrTb"/>
            <w:noWrap w:val="false"/>
          </w:tcPr>
          <w:p>
            <w:pPr>
              <w:pBdr/>
              <w:spacing/>
              <w:ind w:left="0"/>
              <w:jc w:val="center"/>
              <w:rPr/>
            </w:pPr>
            <w:r>
              <w:t xml:space="preserve">$3,200,000</w:t>
            </w:r>
            <w:r/>
          </w:p>
        </w:tc>
      </w:tr>
      <w:tr>
        <w:trPr>
          <w:trHeight w:val="288"/>
        </w:trPr>
        <w:tc>
          <w:tcPr>
            <w:shd w:val="clear" w:color="auto" w:fill="auto"/>
            <w:tcBorders>
              <w:top w:val="single" w:color="000000" w:sz="8" w:space="0"/>
              <w:left w:val="single" w:color="000000" w:sz="8" w:space="0"/>
              <w:bottom w:val="single" w:color="000000" w:sz="8" w:space="0"/>
              <w:right w:val="single" w:color="000000" w:sz="8" w:space="0"/>
            </w:tcBorders>
            <w:tcMar>
              <w:left w:w="100" w:type="dxa"/>
              <w:top w:w="100" w:type="dxa"/>
              <w:right w:w="100" w:type="dxa"/>
              <w:bottom w:w="100" w:type="dxa"/>
            </w:tcMar>
            <w:tcW w:w="1620" w:type="dxa"/>
            <w:vAlign w:val="center"/>
            <w:textDirection w:val="lrTb"/>
            <w:noWrap w:val="false"/>
          </w:tcPr>
          <w:p>
            <w:pPr>
              <w:pBdr/>
              <w:spacing/>
              <w:ind w:left="0"/>
              <w:jc w:val="center"/>
              <w:rPr/>
            </w:pPr>
            <w:r>
              <w:t xml:space="preserve">2064(Est)</w:t>
            </w:r>
            <w:r/>
          </w:p>
        </w:tc>
        <w:tc>
          <w:tcPr>
            <w:shd w:val="clear" w:color="auto" w:fill="auto"/>
            <w:tcBorders>
              <w:top w:val="single" w:color="000000" w:sz="8" w:space="0"/>
              <w:left w:val="single" w:color="000000" w:sz="8" w:space="0"/>
              <w:bottom w:val="single" w:color="000000" w:sz="8" w:space="0"/>
              <w:right w:val="single" w:color="000000" w:sz="8" w:space="0"/>
            </w:tcBorders>
            <w:tcMar>
              <w:left w:w="100" w:type="dxa"/>
              <w:top w:w="100" w:type="dxa"/>
              <w:right w:w="100" w:type="dxa"/>
              <w:bottom w:w="100" w:type="dxa"/>
            </w:tcMar>
            <w:tcW w:w="2340" w:type="dxa"/>
            <w:vAlign w:val="center"/>
            <w:textDirection w:val="lrTb"/>
            <w:noWrap w:val="false"/>
          </w:tcPr>
          <w:p>
            <w:pPr>
              <w:pBdr/>
              <w:spacing/>
              <w:ind w:left="0"/>
              <w:jc w:val="center"/>
              <w:rPr/>
            </w:pPr>
            <w:r>
              <w:t xml:space="preserve">$7,200,000</w:t>
            </w:r>
            <w:r/>
          </w:p>
        </w:tc>
        <w:tc>
          <w:tcPr>
            <w:shd w:val="clear" w:color="auto" w:fill="auto"/>
            <w:tcBorders>
              <w:top w:val="single" w:color="000000" w:sz="8" w:space="0"/>
              <w:left w:val="single" w:color="000000" w:sz="8" w:space="0"/>
              <w:bottom w:val="single" w:color="000000" w:sz="8" w:space="0"/>
              <w:right w:val="single" w:color="000000" w:sz="8" w:space="0"/>
            </w:tcBorders>
            <w:tcMar>
              <w:left w:w="100" w:type="dxa"/>
              <w:top w:w="100" w:type="dxa"/>
              <w:right w:w="100" w:type="dxa"/>
              <w:bottom w:w="100" w:type="dxa"/>
            </w:tcMar>
            <w:tcW w:w="2340" w:type="dxa"/>
            <w:vAlign w:val="center"/>
            <w:textDirection w:val="lrTb"/>
            <w:noWrap w:val="false"/>
          </w:tcPr>
          <w:p>
            <w:pPr>
              <w:pBdr/>
              <w:spacing/>
              <w:ind w:left="0"/>
              <w:jc w:val="center"/>
              <w:rPr/>
            </w:pPr>
            <w:r>
              <w:t xml:space="preserve">$2,800,000</w:t>
            </w:r>
            <w:r/>
          </w:p>
        </w:tc>
        <w:tc>
          <w:tcPr>
            <w:shd w:val="clear" w:color="auto" w:fill="auto"/>
            <w:tcBorders>
              <w:top w:val="single" w:color="000000" w:sz="8" w:space="0"/>
              <w:left w:val="single" w:color="000000" w:sz="8" w:space="0"/>
              <w:bottom w:val="single" w:color="000000" w:sz="8" w:space="0"/>
              <w:right w:val="single" w:color="000000" w:sz="8" w:space="0"/>
            </w:tcBorders>
            <w:tcMar>
              <w:left w:w="100" w:type="dxa"/>
              <w:top w:w="100" w:type="dxa"/>
              <w:right w:w="100" w:type="dxa"/>
              <w:bottom w:w="100" w:type="dxa"/>
            </w:tcMar>
            <w:tcW w:w="2340" w:type="dxa"/>
            <w:vAlign w:val="center"/>
            <w:textDirection w:val="lrTb"/>
            <w:noWrap w:val="false"/>
          </w:tcPr>
          <w:p>
            <w:pPr>
              <w:pBdr/>
              <w:spacing/>
              <w:ind w:left="0"/>
              <w:jc w:val="center"/>
              <w:rPr/>
            </w:pPr>
            <w:r>
              <w:t xml:space="preserve">$4,400,000</w:t>
            </w:r>
            <w:r/>
          </w:p>
        </w:tc>
      </w:tr>
    </w:tbl>
    <w:p>
      <w:pPr>
        <w:pBdr/>
        <w:spacing/>
        <w:ind/>
        <w:rPr/>
      </w:pPr>
      <w:r/>
      <w:r/>
    </w:p>
    <w:p>
      <w:pPr>
        <w:pStyle w:val="735"/>
        <w:pBdr/>
        <w:spacing/>
        <w:ind/>
        <w:rPr/>
      </w:pPr>
      <w:r>
        <w:t xml:space="preserve">Use of Funds</w:t>
      </w:r>
      <w:r/>
    </w:p>
    <w:p>
      <w:pPr>
        <w:pBdr/>
        <w:spacing/>
        <w:ind w:firstLine="720"/>
        <w:rPr/>
      </w:pPr>
      <w:r>
        <w:t xml:space="preserve">NERV Industries is seeking an investment of $2 million to accelerate our growth and market penetration. The funds will be allocated as follows:</w:t>
      </w:r>
      <w:r/>
    </w:p>
    <w:p>
      <w:pPr>
        <w:pBdr/>
        <w:spacing/>
        <w:ind w:firstLine="720"/>
        <w:rPr/>
      </w:pPr>
      <w:r/>
      <w:r/>
    </w:p>
    <w:p>
      <w:pPr>
        <w:pBdr/>
        <w:spacing/>
        <w:ind w:firstLine="720"/>
        <w:rPr/>
      </w:pPr>
      <w:r>
        <w:t xml:space="preserve">NERV Industries recognizes the importance of str</w:t>
      </w:r>
      <w:r>
        <w:t xml:space="preserve">ategic financial allocation to foster growth, increase market penetration, and ensure long-term sustainability. We are seeking an investment of $2 million to expedite our expansion and solidify our position as a leader in the robotics spare parts industry.</w:t>
      </w:r>
      <w:r/>
    </w:p>
    <w:p>
      <w:pPr>
        <w:pBdr/>
        <w:spacing/>
        <w:ind/>
        <w:rPr/>
      </w:pPr>
      <w:r/>
      <w:r/>
    </w:p>
    <w:p>
      <w:pPr>
        <w:pStyle w:val="736"/>
        <w:pBdr/>
        <w:spacing/>
        <w:ind/>
        <w:rPr/>
      </w:pPr>
      <w:r>
        <w:t xml:space="preserve">Research and Development (R&amp;D) - $500,000:</w:t>
      </w:r>
      <w:r/>
    </w:p>
    <w:p>
      <w:pPr>
        <w:pBdr/>
        <w:spacing/>
        <w:ind w:left="1080"/>
        <w:rPr/>
      </w:pPr>
      <w:r>
        <w:t xml:space="preserve">Innovation is at the core of NERV Industries' success. We will dedicate a significant portion of the investment to R&amp;D activities. This includes:</w:t>
      </w:r>
      <w:r/>
    </w:p>
    <w:p>
      <w:pPr>
        <w:pBdr/>
        <w:spacing/>
        <w:ind/>
        <w:rPr/>
      </w:pPr>
      <w:r/>
      <w:r/>
    </w:p>
    <w:p>
      <w:pPr>
        <w:pStyle w:val="743"/>
        <w:numPr>
          <w:ilvl w:val="0"/>
          <w:numId w:val="43"/>
        </w:numPr>
        <w:pBdr/>
        <w:spacing/>
        <w:ind/>
        <w:rPr/>
      </w:pPr>
      <w:r>
        <w:rPr>
          <w:b/>
          <w:bCs/>
        </w:rPr>
        <w:t xml:space="preserve">Product Enhancement:</w:t>
      </w:r>
      <w:r>
        <w:t xml:space="preserve"> Ongoing development and refinement of our existing product lines to meet evolving industry standards and client requirements.</w:t>
      </w:r>
      <w:r/>
    </w:p>
    <w:p>
      <w:pPr>
        <w:pStyle w:val="743"/>
        <w:numPr>
          <w:ilvl w:val="0"/>
          <w:numId w:val="43"/>
        </w:numPr>
        <w:pBdr/>
        <w:spacing/>
        <w:ind/>
        <w:rPr/>
      </w:pPr>
      <w:r>
        <w:rPr>
          <w:b/>
          <w:bCs/>
        </w:rPr>
        <w:t xml:space="preserve">New Product Development</w:t>
      </w:r>
      <w:r>
        <w:t xml:space="preserve">: Investment in the creation of new, cutting-edge spare parts to cater to emerging needs in the robotics market.</w:t>
      </w:r>
      <w:r/>
    </w:p>
    <w:p>
      <w:pPr>
        <w:pStyle w:val="743"/>
        <w:numPr>
          <w:ilvl w:val="0"/>
          <w:numId w:val="43"/>
        </w:numPr>
        <w:pBdr/>
        <w:spacing/>
        <w:ind/>
        <w:rPr/>
      </w:pPr>
      <w:r>
        <w:rPr>
          <w:b/>
          <w:bCs/>
        </w:rPr>
        <w:t xml:space="preserve">Technological Advancements:</w:t>
      </w:r>
      <w:r>
        <w:t xml:space="preserve"> Adoption of state-of-the-art technology and equipment to maintain our competitive edge in product development.</w:t>
      </w:r>
      <w:r/>
    </w:p>
    <w:p>
      <w:pPr>
        <w:pBdr/>
        <w:spacing/>
        <w:ind w:left="1080"/>
        <w:rPr/>
      </w:pPr>
      <w:r/>
      <w:r/>
    </w:p>
    <w:p>
      <w:pPr>
        <w:pBdr/>
        <w:spacing/>
        <w:ind w:left="1080"/>
        <w:rPr/>
      </w:pPr>
      <w:r>
        <w:t xml:space="preserve">By allocating $500,000 to R&amp;D, NERV Industries aims to keep our product range at the forefront of innovation, ensuring that our customers have access to the latest and most advanced robotics spare parts.</w:t>
      </w:r>
      <w:r/>
    </w:p>
    <w:p>
      <w:pPr>
        <w:pBdr/>
        <w:spacing/>
        <w:ind/>
        <w:rPr/>
      </w:pPr>
      <w:r/>
      <w:r/>
    </w:p>
    <w:p>
      <w:pPr>
        <w:pStyle w:val="736"/>
        <w:pBdr/>
        <w:spacing/>
        <w:ind/>
        <w:rPr/>
      </w:pPr>
      <w:r>
        <w:t xml:space="preserve">Marketing and Sales Expansion - $400,000:</w:t>
      </w:r>
      <w:r/>
    </w:p>
    <w:p>
      <w:pPr>
        <w:pBdr/>
        <w:spacing/>
        <w:ind w:left="1080"/>
        <w:rPr/>
      </w:pPr>
      <w:r>
        <w:t xml:space="preserve">To increase our market presence and enhance brand awareness, a portion of the investment will be directed toward marketing and sales expansion. This includes:</w:t>
      </w:r>
      <w:r/>
    </w:p>
    <w:p>
      <w:pPr>
        <w:pStyle w:val="743"/>
        <w:numPr>
          <w:ilvl w:val="0"/>
          <w:numId w:val="45"/>
        </w:numPr>
        <w:pBdr/>
        <w:spacing/>
        <w:ind/>
        <w:rPr/>
      </w:pPr>
      <w:r>
        <w:rPr>
          <w:b/>
          <w:bCs/>
        </w:rPr>
        <w:t xml:space="preserve">Digital Marketing: </w:t>
      </w:r>
      <w:r>
        <w:t xml:space="preserve">Investment in digital marketing campaigns to reach a wider online audience through platforms like Google Ads, social media, and email marketing.</w:t>
      </w:r>
      <w:r/>
    </w:p>
    <w:p>
      <w:pPr>
        <w:pStyle w:val="743"/>
        <w:numPr>
          <w:ilvl w:val="0"/>
          <w:numId w:val="45"/>
        </w:numPr>
        <w:pBdr/>
        <w:spacing/>
        <w:ind/>
        <w:rPr/>
      </w:pPr>
      <w:r>
        <w:rPr>
          <w:b/>
          <w:bCs/>
        </w:rPr>
        <w:t xml:space="preserve">Participation in Trade Shows:</w:t>
      </w:r>
      <w:r>
        <w:t xml:space="preserve"> Increased presence at industry trade shows and exhibitions to showcase our products and establish meaningful connections within the robotics community.</w:t>
      </w:r>
      <w:r/>
    </w:p>
    <w:p>
      <w:pPr>
        <w:pStyle w:val="743"/>
        <w:numPr>
          <w:ilvl w:val="0"/>
          <w:numId w:val="45"/>
        </w:numPr>
        <w:pBdr/>
        <w:spacing/>
        <w:ind/>
        <w:rPr/>
      </w:pPr>
      <w:r>
        <w:rPr>
          <w:b/>
          <w:bCs/>
        </w:rPr>
        <w:t xml:space="preserve">Sales Team Growth:</w:t>
      </w:r>
      <w:r>
        <w:t xml:space="preserve"> Recruitment of additional sales professionals to cater to the growing customer base and explore new sales opportunities.</w:t>
      </w:r>
      <w:r/>
    </w:p>
    <w:p>
      <w:pPr>
        <w:pStyle w:val="743"/>
        <w:numPr>
          <w:ilvl w:val="0"/>
          <w:numId w:val="45"/>
        </w:numPr>
        <w:pBdr/>
        <w:spacing/>
        <w:ind/>
        <w:rPr/>
      </w:pPr>
      <w:r>
        <w:t xml:space="preserve">Client Outreach: Implementation of targeted marketing strategies to reach potential clients and enhance our brand recognition.</w:t>
      </w:r>
      <w:r/>
    </w:p>
    <w:p>
      <w:pPr>
        <w:pBdr/>
        <w:spacing/>
        <w:ind/>
        <w:rPr/>
      </w:pPr>
      <w:r/>
      <w:r/>
    </w:p>
    <w:p>
      <w:pPr>
        <w:pBdr/>
        <w:spacing/>
        <w:ind w:left="1080"/>
        <w:rPr/>
      </w:pPr>
      <w:r>
        <w:t xml:space="preserve">This investment of $400,000 in marketing and sales expansion will drive NERV Industries' revenue growth and solidify our reputation as a trusted provider of robotics spare parts.</w:t>
      </w:r>
      <w:r/>
    </w:p>
    <w:p>
      <w:pPr>
        <w:pBdr/>
        <w:spacing/>
        <w:ind/>
        <w:rPr/>
      </w:pPr>
      <w:r/>
      <w:r/>
    </w:p>
    <w:p>
      <w:pPr>
        <w:pStyle w:val="736"/>
        <w:pBdr/>
        <w:spacing/>
        <w:ind/>
        <w:rPr/>
      </w:pPr>
      <w:r>
        <w:t xml:space="preserve">Inventory and Production Scale-up - $600,000:</w:t>
      </w:r>
      <w:r/>
    </w:p>
    <w:p>
      <w:pPr>
        <w:pBdr/>
        <w:spacing/>
        <w:ind w:left="1080"/>
        <w:rPr/>
      </w:pPr>
      <w:r>
        <w:t xml:space="preserve">NERV Industries recognizes the importance of maintaining sufficient inventory levels to meet customer demands promptly. To this end, $600,000 will be allocated for inventory and production scale-up:</w:t>
      </w:r>
      <w:r/>
    </w:p>
    <w:p>
      <w:pPr>
        <w:pBdr/>
        <w:spacing/>
        <w:ind/>
        <w:rPr/>
      </w:pPr>
      <w:r/>
      <w:r/>
    </w:p>
    <w:p>
      <w:pPr>
        <w:pStyle w:val="743"/>
        <w:numPr>
          <w:ilvl w:val="0"/>
          <w:numId w:val="47"/>
        </w:numPr>
        <w:pBdr/>
        <w:spacing/>
        <w:ind/>
        <w:rPr/>
      </w:pPr>
      <w:r>
        <w:rPr>
          <w:b/>
          <w:bCs/>
        </w:rPr>
        <w:t xml:space="preserve">Manufacturing Capacity:</w:t>
      </w:r>
      <w:r>
        <w:t xml:space="preserve"> Investment in the expansion of our manufacturing facilities, including the acquisition of advanced machinery and technology to enhance production efficiency.</w:t>
      </w:r>
      <w:r/>
    </w:p>
    <w:p>
      <w:pPr>
        <w:pStyle w:val="743"/>
        <w:numPr>
          <w:ilvl w:val="0"/>
          <w:numId w:val="47"/>
        </w:numPr>
        <w:pBdr/>
        <w:spacing/>
        <w:ind/>
        <w:rPr/>
      </w:pPr>
      <w:r>
        <w:rPr>
          <w:b/>
          <w:bCs/>
        </w:rPr>
        <w:t xml:space="preserve">Inventory Management:</w:t>
      </w:r>
      <w:r>
        <w:t xml:space="preserve"> Optimization of inventory systems to ensure that our products are readily available for immediate delivery.</w:t>
      </w:r>
      <w:r/>
    </w:p>
    <w:p>
      <w:pPr>
        <w:pStyle w:val="743"/>
        <w:numPr>
          <w:ilvl w:val="0"/>
          <w:numId w:val="47"/>
        </w:numPr>
        <w:pBdr/>
        <w:spacing/>
        <w:ind/>
        <w:rPr/>
      </w:pPr>
      <w:r>
        <w:rPr>
          <w:b/>
          <w:bCs/>
        </w:rPr>
        <w:t xml:space="preserve">Quality Assurance:</w:t>
      </w:r>
      <w:r>
        <w:t xml:space="preserve"> Implementation of stringent quality control measures to maintain the high standard of our products.</w:t>
      </w:r>
      <w:r/>
    </w:p>
    <w:p>
      <w:pPr>
        <w:pStyle w:val="743"/>
        <w:numPr>
          <w:ilvl w:val="0"/>
          <w:numId w:val="47"/>
        </w:numPr>
        <w:pBdr/>
        <w:spacing/>
        <w:ind/>
        <w:rPr/>
      </w:pPr>
      <w:r>
        <w:rPr>
          <w:b/>
          <w:bCs/>
        </w:rPr>
        <w:t xml:space="preserve">Supplier Partnerships:</w:t>
      </w:r>
      <w:r>
        <w:t xml:space="preserve"> Establishment of strategic partnerships with suppliers to ensure a consistent supply of raw materials.</w:t>
      </w:r>
      <w:r/>
    </w:p>
    <w:p>
      <w:pPr>
        <w:pBdr/>
        <w:spacing/>
        <w:ind/>
        <w:rPr/>
      </w:pPr>
      <w:r/>
      <w:r/>
    </w:p>
    <w:p>
      <w:pPr>
        <w:pBdr/>
        <w:spacing/>
        <w:ind w:left="1080"/>
        <w:rPr/>
      </w:pPr>
      <w:r>
        <w:t xml:space="preserve">This investment will significantly enhance our ability to meet the increasing demand for our products, reducing lead times and fostering strong customer relationships.</w:t>
      </w:r>
      <w:r/>
    </w:p>
    <w:p>
      <w:pPr>
        <w:pBdr/>
        <w:spacing/>
        <w:ind/>
        <w:rPr/>
      </w:pPr>
      <w:r/>
      <w:r/>
    </w:p>
    <w:p>
      <w:pPr>
        <w:pStyle w:val="736"/>
        <w:pBdr/>
        <w:spacing/>
        <w:ind/>
        <w:rPr/>
      </w:pPr>
      <w:r>
        <w:t xml:space="preserve">Hiring and Talent Acquisition - $300,000:</w:t>
      </w:r>
      <w:r/>
    </w:p>
    <w:p>
      <w:pPr>
        <w:pBdr/>
        <w:spacing/>
        <w:ind w:left="1080"/>
        <w:rPr/>
      </w:pPr>
      <w:r>
        <w:t xml:space="preserve">As NERV Industries expands, the need for talented professionals to drive our growth becomes paramount. The allocation of $300,000 for hiring and talent acquisition includes:</w:t>
      </w:r>
      <w:r/>
    </w:p>
    <w:p>
      <w:pPr>
        <w:pBdr/>
        <w:spacing/>
        <w:ind/>
        <w:rPr/>
      </w:pPr>
      <w:r/>
      <w:r/>
    </w:p>
    <w:p>
      <w:pPr>
        <w:pStyle w:val="743"/>
        <w:numPr>
          <w:ilvl w:val="0"/>
          <w:numId w:val="49"/>
        </w:numPr>
        <w:pBdr/>
        <w:tabs>
          <w:tab w:val="clear" w:leader="none" w:pos="720"/>
          <w:tab w:val="num" w:leader="none" w:pos="1440"/>
        </w:tabs>
        <w:spacing/>
        <w:ind w:left="1440"/>
        <w:rPr/>
      </w:pPr>
      <w:r>
        <w:rPr>
          <w:b/>
          <w:bCs/>
        </w:rPr>
        <w:t xml:space="preserve">Recruitment:</w:t>
      </w:r>
      <w:r>
        <w:t xml:space="preserve"> Attracting skilled professionals in key areas such as R&amp;D, sales, marketing, and operations.</w:t>
      </w:r>
      <w:r/>
    </w:p>
    <w:p>
      <w:pPr>
        <w:pStyle w:val="743"/>
        <w:numPr>
          <w:ilvl w:val="0"/>
          <w:numId w:val="49"/>
        </w:numPr>
        <w:pBdr/>
        <w:tabs>
          <w:tab w:val="clear" w:leader="none" w:pos="720"/>
          <w:tab w:val="num" w:leader="none" w:pos="1440"/>
        </w:tabs>
        <w:spacing/>
        <w:ind w:left="1440"/>
        <w:rPr/>
      </w:pPr>
      <w:r>
        <w:rPr>
          <w:b/>
          <w:bCs/>
        </w:rPr>
        <w:t xml:space="preserve">Training and Development:</w:t>
      </w:r>
      <w:r>
        <w:t xml:space="preserve"> Investing in ongoing training and development programs to ensure that our team remains at the forefront of industry knowledge and expertise.</w:t>
      </w:r>
      <w:r/>
    </w:p>
    <w:p>
      <w:pPr>
        <w:pStyle w:val="743"/>
        <w:numPr>
          <w:ilvl w:val="0"/>
          <w:numId w:val="49"/>
        </w:numPr>
        <w:pBdr/>
        <w:tabs>
          <w:tab w:val="clear" w:leader="none" w:pos="720"/>
          <w:tab w:val="num" w:leader="none" w:pos="1440"/>
        </w:tabs>
        <w:spacing/>
        <w:ind w:left="1440"/>
        <w:rPr/>
      </w:pPr>
      <w:r>
        <w:rPr>
          <w:b/>
          <w:bCs/>
        </w:rPr>
        <w:t xml:space="preserve">Team Expansion:</w:t>
      </w:r>
      <w:r>
        <w:t xml:space="preserve"> Increasing our workforce to support the company's growth and the additional demands of our expanding customer base.</w:t>
      </w:r>
      <w:r/>
    </w:p>
    <w:p>
      <w:pPr>
        <w:pBdr/>
        <w:spacing/>
        <w:ind w:left="1080"/>
        <w:rPr/>
      </w:pPr>
      <w:r/>
      <w:r/>
    </w:p>
    <w:p>
      <w:pPr>
        <w:pBdr/>
        <w:spacing/>
        <w:ind w:left="1080"/>
        <w:rPr/>
      </w:pPr>
      <w:r>
        <w:t xml:space="preserve">By focusing on hiring and talent acquisition, we aim to build a strong and dynamic team capable of driving our ambitious business objectives.</w:t>
      </w:r>
      <w:r/>
    </w:p>
    <w:p>
      <w:pPr>
        <w:pBdr/>
        <w:spacing/>
        <w:ind/>
        <w:rPr/>
      </w:pPr>
      <w:r/>
      <w:r/>
    </w:p>
    <w:p>
      <w:pPr>
        <w:pStyle w:val="736"/>
        <w:pBdr/>
        <w:spacing/>
        <w:ind/>
        <w:rPr/>
      </w:pPr>
      <w:r>
        <w:t xml:space="preserve">Working Capital - $200,000:</w:t>
      </w:r>
      <w:r/>
    </w:p>
    <w:p>
      <w:pPr>
        <w:pBdr/>
        <w:spacing/>
        <w:ind w:left="1080"/>
        <w:rPr/>
      </w:pPr>
      <w:r>
        <w:t xml:space="preserve">Finally, $200,000 will be allocated to bolster our working capital. Working capital is essential to ensure the smooth day-to-day operations of the company. This includes:</w:t>
      </w:r>
      <w:r/>
    </w:p>
    <w:p>
      <w:pPr>
        <w:pBdr/>
        <w:spacing/>
        <w:ind/>
        <w:rPr/>
      </w:pPr>
      <w:r/>
      <w:r/>
    </w:p>
    <w:p>
      <w:pPr>
        <w:pStyle w:val="743"/>
        <w:numPr>
          <w:ilvl w:val="0"/>
          <w:numId w:val="51"/>
        </w:numPr>
        <w:pBdr/>
        <w:tabs>
          <w:tab w:val="clear" w:leader="none" w:pos="720"/>
          <w:tab w:val="num" w:leader="none" w:pos="1440"/>
        </w:tabs>
        <w:spacing/>
        <w:ind w:left="1440"/>
        <w:rPr/>
      </w:pPr>
      <w:r>
        <w:rPr>
          <w:b/>
          <w:bCs/>
        </w:rPr>
        <w:t xml:space="preserve">Cash Flow Management: </w:t>
      </w:r>
      <w:r>
        <w:t xml:space="preserve">Managing operational expenses and ensuring the availability of funds for unforeseen challenges or opportunities.</w:t>
      </w:r>
      <w:r/>
    </w:p>
    <w:p>
      <w:pPr>
        <w:pStyle w:val="743"/>
        <w:numPr>
          <w:ilvl w:val="0"/>
          <w:numId w:val="51"/>
        </w:numPr>
        <w:pBdr/>
        <w:tabs>
          <w:tab w:val="clear" w:leader="none" w:pos="720"/>
          <w:tab w:val="num" w:leader="none" w:pos="1440"/>
        </w:tabs>
        <w:spacing/>
        <w:ind w:left="1440"/>
        <w:rPr/>
      </w:pPr>
      <w:r>
        <w:rPr>
          <w:b/>
          <w:bCs/>
        </w:rPr>
        <w:t xml:space="preserve">Debt Servicing:</w:t>
      </w:r>
      <w:r>
        <w:t xml:space="preserve"> Repaying any existing debts and managing financial obligations effectively.</w:t>
      </w:r>
      <w:r/>
    </w:p>
    <w:p>
      <w:pPr>
        <w:pStyle w:val="743"/>
        <w:numPr>
          <w:ilvl w:val="0"/>
          <w:numId w:val="51"/>
        </w:numPr>
        <w:pBdr/>
        <w:tabs>
          <w:tab w:val="clear" w:leader="none" w:pos="720"/>
          <w:tab w:val="num" w:leader="none" w:pos="1440"/>
        </w:tabs>
        <w:spacing/>
        <w:ind w:left="1440"/>
        <w:rPr/>
      </w:pPr>
      <w:r>
        <w:rPr>
          <w:b/>
          <w:bCs/>
        </w:rPr>
        <w:t xml:space="preserve">Contingency: </w:t>
      </w:r>
      <w:r>
        <w:t xml:space="preserve">Establishing a financial safety net to address unexpected circumstances or economic fluctuations.</w:t>
      </w:r>
      <w:r/>
    </w:p>
    <w:p>
      <w:pPr>
        <w:pBdr/>
        <w:spacing/>
        <w:ind w:left="1080"/>
        <w:rPr/>
      </w:pPr>
      <w:r/>
      <w:r/>
    </w:p>
    <w:p>
      <w:pPr>
        <w:pBdr/>
        <w:spacing/>
        <w:ind w:left="1080"/>
        <w:rPr/>
      </w:pPr>
      <w:r>
        <w:t xml:space="preserve">This working capital investment will provide NERV Industries with the financial stability needed to navigate the dynamic business landscape and take advantage of opportunities for growth.</w:t>
      </w:r>
      <w:r/>
    </w:p>
    <w:p>
      <w:pPr>
        <w:pBdr/>
        <w:spacing/>
        <w:ind/>
        <w:rPr/>
      </w:pPr>
      <w:r/>
      <w:r/>
    </w:p>
    <w:p>
      <w:pPr>
        <w:pStyle w:val="734"/>
        <w:pBdr/>
        <w:spacing/>
        <w:ind/>
        <w:rPr/>
      </w:pPr>
      <w:r>
        <w:t xml:space="preserve">Conclusion</w:t>
      </w:r>
      <w:r/>
    </w:p>
    <w:p>
      <w:pPr>
        <w:pBdr/>
        <w:spacing/>
        <w:ind w:firstLine="720"/>
        <w:rPr/>
      </w:pPr>
      <w:r>
        <w:t xml:space="preserve">NERV Industries is poised for rapid growth in the burgeoning robotics spare parts industry. With a strong commitment to product quality, innovation, and customer satisfaction, we are well-positioned to capture a significant share of the marke</w:t>
      </w:r>
      <w:r>
        <w:t xml:space="preserve">t. We invite potential investors and partners to join us on this exciting journey and be part of our vision to revolutionize the robotics industry. Your support will help NERV Industries reach new heights and make a lasting impact in the world of robotics.</w:t>
      </w:r>
      <w:r/>
    </w:p>
    <w:p>
      <w:pPr>
        <w:pBdr/>
        <w:spacing/>
        <w:ind w:firstLine="720"/>
        <w:rPr/>
      </w:pPr>
      <w:r/>
      <w:r/>
    </w:p>
    <w:p>
      <w:pPr>
        <w:pBdr/>
        <w:spacing/>
        <w:ind w:firstLine="720"/>
        <w:rPr/>
      </w:pPr>
      <w:r>
        <w:t xml:space="preserve">Thank you for considering our proposal. For further information or inquiries, please contact Lauren White at lauren.white@nervindustries.com or 222 555 7777.</w:t>
      </w:r>
      <w:r/>
    </w:p>
    <w:sectPr>
      <w:footnotePr/>
      <w:endnotePr/>
      <w:type w:val="nextPage"/>
      <w:pgSz w:h="16838" w:orient="portrait" w:w="11906"/>
      <w:pgMar w:top="1440" w:right="1440" w:bottom="1440" w:left="1440" w:header="708" w:footer="708"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r>
        <w:separator/>
      </w:r>
      <w:r/>
    </w:p>
  </w:endnote>
  <w:endnote w:type="continuationSeparator" w:id="0">
    <w:p>
      <w:pPr>
        <w:pBdr/>
        <w:spacing w:after="0" w:line="240" w:lineRule="auto"/>
        <w:ind/>
        <w:rPr/>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font>
  <w:font w:name="Courier New">
    <w:panose1 w:val="02070309020205020404"/>
  </w:font>
  <w:font w:name="Symbol">
    <w:panose1 w:val="05010000000000000000"/>
  </w:font>
  <w:font w:name="Proxima Nova Rg">
    <w:panose1 w:val="05040102010807070707"/>
  </w:font>
  <w:font w:name="Arial">
    <w:panose1 w:val="020B0604020202020204"/>
  </w:font>
  <w:font w:name="Calibri">
    <w:panose1 w:val="020F0502020204030204"/>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r>
        <w:separator/>
      </w:r>
      <w:r/>
    </w:p>
  </w:footnote>
  <w:footnote w:type="continuationSeparator" w:id="0">
    <w:p>
      <w:pPr>
        <w:pBdr/>
        <w:spacing w:after="0" w:line="240" w:lineRule="auto"/>
        <w:ind/>
        <w:rPr/>
      </w:pPr>
      <w: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tabs>
          <w:tab w:val="num" w:leader="none" w:pos="720"/>
        </w:tabs>
        <w:spacing/>
        <w:ind w:hanging="360" w:left="720"/>
      </w:pPr>
      <w:rPr/>
      <w:start w:val="1"/>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1">
    <w:lvl w:ilvl="0">
      <w:isLgl w:val="false"/>
      <w:lvlJc w:val="left"/>
      <w:lvlText w:val="%1."/>
      <w:numFmt w:val="decimal"/>
      <w:pPr>
        <w:pBdr/>
        <w:tabs>
          <w:tab w:val="num" w:leader="none" w:pos="720"/>
        </w:tabs>
        <w:spacing/>
        <w:ind w:hanging="360" w:left="720"/>
      </w:pPr>
      <w:rPr/>
      <w:start w:val="1"/>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2">
    <w:lvl w:ilvl="0">
      <w:isLgl w:val="false"/>
      <w:lvlJc w:val="left"/>
      <w:lvlText w:val="%1."/>
      <w:numFmt w:val="upperLetter"/>
      <w:pPr>
        <w:pBdr/>
        <w:tabs>
          <w:tab w:val="num" w:leader="none" w:pos="720"/>
        </w:tabs>
        <w:spacing/>
        <w:ind w:hanging="360" w:left="720"/>
      </w:pPr>
      <w:rPr/>
      <w:start w:val="3"/>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3">
    <w:lvl w:ilvl="0">
      <w:isLgl w:val="false"/>
      <w:lvlJc w:val="right"/>
      <w:lvlText w:val="%1."/>
      <w:numFmt w:val="upperRoman"/>
      <w:pPr>
        <w:pBdr/>
        <w:tabs>
          <w:tab w:val="num" w:leader="none" w:pos="720"/>
        </w:tabs>
        <w:spacing/>
        <w:ind w:hanging="360" w:left="720"/>
      </w:pPr>
      <w:rPr/>
      <w:start w:val="3"/>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4">
    <w:lvl w:ilvl="0">
      <w:isLgl w:val="false"/>
      <w:lvlJc w:val="right"/>
      <w:lvlText w:val="%1."/>
      <w:numFmt w:val="upperRoman"/>
      <w:pPr>
        <w:pBdr/>
        <w:tabs>
          <w:tab w:val="num" w:leader="none" w:pos="720"/>
        </w:tabs>
        <w:spacing/>
        <w:ind w:hanging="360" w:left="720"/>
      </w:pPr>
      <w:rPr/>
      <w:start w:val="5"/>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5">
    <w:lvl w:ilvl="0">
      <w:isLgl w:val="false"/>
      <w:lvlJc w:val="right"/>
      <w:lvlText w:val="%1."/>
      <w:numFmt w:val="upperRoman"/>
      <w:pPr>
        <w:pBdr/>
        <w:tabs>
          <w:tab w:val="num" w:leader="none" w:pos="720"/>
        </w:tabs>
        <w:spacing/>
        <w:ind w:hanging="360" w:left="720"/>
      </w:pPr>
      <w:rPr/>
      <w:start w:val="7"/>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6">
    <w:lvl w:ilvl="0">
      <w:isLgl w:val="false"/>
      <w:lvlJc w:val="left"/>
      <w:lvlText w:val="%1."/>
      <w:numFmt w:val="decimal"/>
      <w:pPr>
        <w:pBdr/>
        <w:tabs>
          <w:tab w:val="num" w:leader="none" w:pos="720"/>
        </w:tabs>
        <w:spacing/>
        <w:ind w:hanging="360" w:left="720"/>
      </w:pPr>
      <w:rPr/>
      <w:start w:val="1"/>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7">
    <w:lvl w:ilvl="0">
      <w:isLgl w:val="false"/>
      <w:lvlJc w:val="right"/>
      <w:lvlText w:val="%1."/>
      <w:numFmt w:val="upperRoman"/>
      <w:pPr>
        <w:pBdr/>
        <w:tabs>
          <w:tab w:val="num" w:leader="none" w:pos="720"/>
        </w:tabs>
        <w:spacing/>
        <w:ind w:hanging="360" w:left="720"/>
      </w:pPr>
      <w:rPr/>
      <w:start w:val="4"/>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8">
    <w:lvl w:ilvl="0">
      <w:isLgl w:val="false"/>
      <w:lvlJc w:val="left"/>
      <w:lvlText w:val="%1."/>
      <w:numFmt w:val="upperLetter"/>
      <w:pPr>
        <w:pBdr/>
        <w:tabs>
          <w:tab w:val="num" w:leader="none" w:pos="720"/>
        </w:tabs>
        <w:spacing/>
        <w:ind w:hanging="360" w:left="720"/>
      </w:pPr>
      <w:rPr/>
      <w:start w:val="6"/>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9">
    <w:lvl w:ilvl="0">
      <w:isLgl w:val="false"/>
      <w:lvlJc w:val="left"/>
      <w:lvlText w:val="%1."/>
      <w:numFmt w:val="decimal"/>
      <w:pPr>
        <w:pBdr/>
        <w:tabs>
          <w:tab w:val="num" w:leader="none" w:pos="720"/>
        </w:tabs>
        <w:spacing/>
        <w:ind w:hanging="360" w:left="720"/>
      </w:pPr>
      <w:rPr/>
      <w:start w:val="1"/>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10">
    <w:lvl w:ilvl="0">
      <w:isLgl w:val="false"/>
      <w:lvlJc w:val="right"/>
      <w:lvlText w:val="%1."/>
      <w:numFmt w:val="upperRoman"/>
      <w:pPr>
        <w:pBdr/>
        <w:tabs>
          <w:tab w:val="num" w:leader="none" w:pos="720"/>
        </w:tabs>
        <w:spacing/>
        <w:ind w:hanging="360" w:left="720"/>
      </w:pPr>
      <w:rPr/>
      <w:start w:val="6"/>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11">
    <w:lvl w:ilvl="0">
      <w:isLgl w:val="false"/>
      <w:lvlJc w:val="right"/>
      <w:lvlText w:val="%1."/>
      <w:numFmt w:val="upperRoman"/>
      <w:pPr>
        <w:pBdr/>
        <w:tabs>
          <w:tab w:val="num" w:leader="none" w:pos="720"/>
        </w:tabs>
        <w:spacing/>
        <w:ind w:hanging="360" w:left="720"/>
      </w:pPr>
      <w:rPr/>
      <w:start w:val="5"/>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12">
    <w:lvl w:ilvl="0">
      <w:isLgl w:val="false"/>
      <w:lvlJc w:val="left"/>
      <w:lvlText w:val="%1."/>
      <w:numFmt w:val="upperLetter"/>
      <w:pPr>
        <w:pBdr/>
        <w:tabs>
          <w:tab w:val="num" w:leader="none" w:pos="720"/>
        </w:tabs>
        <w:spacing/>
        <w:ind w:hanging="360" w:left="720"/>
      </w:pPr>
      <w:rPr/>
      <w:start w:val="2"/>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13">
    <w:lvl w:ilvl="0">
      <w:isLgl w:val="false"/>
      <w:lvlJc w:val="left"/>
      <w:lvlText w:val="%1."/>
      <w:numFmt w:val="decimal"/>
      <w:pPr>
        <w:pBdr/>
        <w:tabs>
          <w:tab w:val="num" w:leader="none" w:pos="720"/>
        </w:tabs>
        <w:spacing/>
        <w:ind w:hanging="360" w:left="720"/>
      </w:pPr>
      <w:rPr/>
      <w:start w:val="3"/>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14">
    <w:lvl w:ilvl="0">
      <w:isLgl w:val="false"/>
      <w:lvlJc w:val="left"/>
      <w:lvlText w:val="%1."/>
      <w:numFmt w:val="upperLetter"/>
      <w:pPr>
        <w:pBdr/>
        <w:tabs>
          <w:tab w:val="num" w:leader="none" w:pos="720"/>
        </w:tabs>
        <w:spacing/>
        <w:ind w:hanging="360" w:left="720"/>
      </w:pPr>
      <w:rPr/>
      <w:start w:val="3"/>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15">
    <w:lvl w:ilvl="0">
      <w:isLgl w:val="false"/>
      <w:lvlJc w:val="left"/>
      <w:lvlText w:val="%1."/>
      <w:numFmt w:val="upperLetter"/>
      <w:pPr>
        <w:pBdr/>
        <w:tabs>
          <w:tab w:val="num" w:leader="none" w:pos="720"/>
        </w:tabs>
        <w:spacing/>
        <w:ind w:hanging="360" w:left="720"/>
      </w:pPr>
      <w:rPr/>
      <w:start w:val="2"/>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16">
    <w:lvl w:ilvl="0">
      <w:isLgl w:val="false"/>
      <w:lvlJc w:val="right"/>
      <w:lvlText w:val="%1."/>
      <w:numFmt w:val="upperRoman"/>
      <w:pPr>
        <w:pBdr/>
        <w:tabs>
          <w:tab w:val="num" w:leader="none" w:pos="720"/>
        </w:tabs>
        <w:spacing/>
        <w:ind w:hanging="360" w:left="720"/>
      </w:pPr>
      <w:rPr/>
      <w:start w:val="2"/>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17">
    <w:lvl w:ilvl="0">
      <w:isLgl w:val="false"/>
      <w:lvlJc w:val="right"/>
      <w:lvlText w:val="%1."/>
      <w:numFmt w:val="upperRoman"/>
      <w:pPr>
        <w:pBdr/>
        <w:tabs>
          <w:tab w:val="num" w:leader="none" w:pos="720"/>
        </w:tabs>
        <w:spacing/>
        <w:ind w:hanging="360" w:left="720"/>
      </w:pPr>
      <w:rPr/>
      <w:start w:val="4"/>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18">
    <w:lvl w:ilvl="0">
      <w:isLgl w:val="false"/>
      <w:lvlJc w:val="left"/>
      <w:lvlText w:val=""/>
      <w:numFmt w:val="bullet"/>
      <w:pPr>
        <w:pBdr/>
        <w:tabs>
          <w:tab w:val="num" w:leader="none" w:pos="1440"/>
        </w:tabs>
        <w:spacing/>
        <w:ind w:hanging="360" w:left="1440"/>
      </w:pPr>
      <w:rPr>
        <w:rFonts w:hint="default" w:ascii="Symbol" w:hAnsi="Symbol"/>
        <w:sz w:val="20"/>
      </w:rPr>
      <w:start w:val="1"/>
      <w:suff w:val="tab"/>
    </w:lvl>
    <w:lvl w:ilvl="1">
      <w:isLgl w:val="false"/>
      <w:lvlJc w:val="left"/>
      <w:lvlText w:val="o"/>
      <w:numFmt w:val="bullet"/>
      <w:pPr>
        <w:pBdr/>
        <w:tabs>
          <w:tab w:val="num" w:leader="none" w:pos="2160"/>
        </w:tabs>
        <w:spacing/>
        <w:ind w:hanging="360" w:left="2160"/>
      </w:pPr>
      <w:rPr>
        <w:rFonts w:hint="default" w:ascii="Courier New" w:hAnsi="Courier New"/>
        <w:sz w:val="20"/>
      </w:rPr>
      <w:start w:val="1"/>
      <w:suff w:val="tab"/>
    </w:lvl>
    <w:lvl w:ilvl="2">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3">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4">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5">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6">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7">
      <w:isLgl w:val="false"/>
      <w:lvlJc w:val="left"/>
      <w:lvlText w:val=""/>
      <w:numFmt w:val="bullet"/>
      <w:pPr>
        <w:pBdr/>
        <w:tabs>
          <w:tab w:val="num" w:leader="none" w:pos="6480"/>
        </w:tabs>
        <w:spacing/>
        <w:ind w:hanging="360" w:left="6480"/>
      </w:pPr>
      <w:rPr>
        <w:rFonts w:hint="default" w:ascii="Wingdings" w:hAnsi="Wingdings"/>
        <w:sz w:val="20"/>
      </w:rPr>
      <w:start w:val="1"/>
      <w:suff w:val="tab"/>
    </w:lvl>
    <w:lvl w:ilvl="8">
      <w:isLgl w:val="false"/>
      <w:lvlJc w:val="left"/>
      <w:lvlText w:val=""/>
      <w:numFmt w:val="bullet"/>
      <w:pPr>
        <w:pBdr/>
        <w:tabs>
          <w:tab w:val="num" w:leader="none" w:pos="7200"/>
        </w:tabs>
        <w:spacing/>
        <w:ind w:hanging="360" w:left="7200"/>
      </w:pPr>
      <w:rPr>
        <w:rFonts w:hint="default" w:ascii="Wingdings" w:hAnsi="Wingdings"/>
        <w:sz w:val="20"/>
      </w:rPr>
      <w:start w:val="1"/>
      <w:suff w:val="tab"/>
    </w:lvl>
  </w:abstractNum>
  <w:abstractNum w:abstractNumId="19">
    <w:lvl w:ilvl="0">
      <w:isLgl w:val="false"/>
      <w:lvlJc w:val="left"/>
      <w:lvlText w:val=""/>
      <w:numFmt w:val="bullet"/>
      <w:pPr>
        <w:pBdr/>
        <w:tabs>
          <w:tab w:val="num" w:leader="none" w:pos="1080"/>
        </w:tabs>
        <w:spacing/>
        <w:ind w:hanging="360" w:left="1080"/>
      </w:pPr>
      <w:rPr>
        <w:rFonts w:hint="default" w:ascii="Symbol" w:hAnsi="Symbol"/>
        <w:sz w:val="20"/>
      </w:rPr>
      <w:start w:val="1"/>
      <w:suff w:val="tab"/>
    </w:lvl>
    <w:lvl w:ilvl="1">
      <w:isLgl w:val="false"/>
      <w:lvlJc w:val="left"/>
      <w:lvlText w:val="o"/>
      <w:numFmt w:val="bullet"/>
      <w:pPr>
        <w:pBdr/>
        <w:tabs>
          <w:tab w:val="num" w:leader="none" w:pos="1800"/>
        </w:tabs>
        <w:spacing/>
        <w:ind w:hanging="360" w:left="1800"/>
      </w:pPr>
      <w:rPr>
        <w:rFonts w:hint="default" w:ascii="Courier New" w:hAnsi="Courier New"/>
        <w:sz w:val="20"/>
      </w:rPr>
      <w:start w:val="1"/>
      <w:suff w:val="tab"/>
    </w:lvl>
    <w:lvl w:ilvl="2">
      <w:isLgl w:val="false"/>
      <w:lvlJc w:val="left"/>
      <w:lvlText w:val=""/>
      <w:numFmt w:val="bullet"/>
      <w:pPr>
        <w:pBdr/>
        <w:tabs>
          <w:tab w:val="num" w:leader="none" w:pos="2520"/>
        </w:tabs>
        <w:spacing/>
        <w:ind w:hanging="360" w:left="2520"/>
      </w:pPr>
      <w:rPr>
        <w:rFonts w:hint="default" w:ascii="Wingdings" w:hAnsi="Wingdings"/>
        <w:sz w:val="20"/>
      </w:rPr>
      <w:start w:val="1"/>
      <w:suff w:val="tab"/>
    </w:lvl>
    <w:lvl w:ilvl="3">
      <w:isLgl w:val="false"/>
      <w:lvlJc w:val="left"/>
      <w:lvlText w:val=""/>
      <w:numFmt w:val="bullet"/>
      <w:pPr>
        <w:pBdr/>
        <w:tabs>
          <w:tab w:val="num" w:leader="none" w:pos="3240"/>
        </w:tabs>
        <w:spacing/>
        <w:ind w:hanging="360" w:left="3240"/>
      </w:pPr>
      <w:rPr>
        <w:rFonts w:hint="default" w:ascii="Wingdings" w:hAnsi="Wingdings"/>
        <w:sz w:val="20"/>
      </w:rPr>
      <w:start w:val="1"/>
      <w:suff w:val="tab"/>
    </w:lvl>
    <w:lvl w:ilvl="4">
      <w:isLgl w:val="false"/>
      <w:lvlJc w:val="left"/>
      <w:lvlText w:val=""/>
      <w:numFmt w:val="bullet"/>
      <w:pPr>
        <w:pBdr/>
        <w:tabs>
          <w:tab w:val="num" w:leader="none" w:pos="3960"/>
        </w:tabs>
        <w:spacing/>
        <w:ind w:hanging="360" w:left="3960"/>
      </w:pPr>
      <w:rPr>
        <w:rFonts w:hint="default" w:ascii="Wingdings" w:hAnsi="Wingdings"/>
        <w:sz w:val="20"/>
      </w:rPr>
      <w:start w:val="1"/>
      <w:suff w:val="tab"/>
    </w:lvl>
    <w:lvl w:ilvl="5">
      <w:isLgl w:val="false"/>
      <w:lvlJc w:val="left"/>
      <w:lvlText w:val=""/>
      <w:numFmt w:val="bullet"/>
      <w:pPr>
        <w:pBdr/>
        <w:tabs>
          <w:tab w:val="num" w:leader="none" w:pos="4680"/>
        </w:tabs>
        <w:spacing/>
        <w:ind w:hanging="360" w:left="4680"/>
      </w:pPr>
      <w:rPr>
        <w:rFonts w:hint="default" w:ascii="Wingdings" w:hAnsi="Wingdings"/>
        <w:sz w:val="20"/>
      </w:rPr>
      <w:start w:val="1"/>
      <w:suff w:val="tab"/>
    </w:lvl>
    <w:lvl w:ilvl="6">
      <w:isLgl w:val="false"/>
      <w:lvlJc w:val="left"/>
      <w:lvlText w:val=""/>
      <w:numFmt w:val="bullet"/>
      <w:pPr>
        <w:pBdr/>
        <w:tabs>
          <w:tab w:val="num" w:leader="none" w:pos="5400"/>
        </w:tabs>
        <w:spacing/>
        <w:ind w:hanging="360" w:left="5400"/>
      </w:pPr>
      <w:rPr>
        <w:rFonts w:hint="default" w:ascii="Wingdings" w:hAnsi="Wingdings"/>
        <w:sz w:val="20"/>
      </w:rPr>
      <w:start w:val="1"/>
      <w:suff w:val="tab"/>
    </w:lvl>
    <w:lvl w:ilvl="7">
      <w:isLgl w:val="false"/>
      <w:lvlJc w:val="left"/>
      <w:lvlText w:val=""/>
      <w:numFmt w:val="bullet"/>
      <w:pPr>
        <w:pBdr/>
        <w:tabs>
          <w:tab w:val="num" w:leader="none" w:pos="6120"/>
        </w:tabs>
        <w:spacing/>
        <w:ind w:hanging="360" w:left="6120"/>
      </w:pPr>
      <w:rPr>
        <w:rFonts w:hint="default" w:ascii="Wingdings" w:hAnsi="Wingdings"/>
        <w:sz w:val="20"/>
      </w:rPr>
      <w:start w:val="1"/>
      <w:suff w:val="tab"/>
    </w:lvl>
    <w:lvl w:ilvl="8">
      <w:isLgl w:val="false"/>
      <w:lvlJc w:val="left"/>
      <w:lvlText w:val=""/>
      <w:numFmt w:val="bullet"/>
      <w:pPr>
        <w:pBdr/>
        <w:tabs>
          <w:tab w:val="num" w:leader="none" w:pos="6840"/>
        </w:tabs>
        <w:spacing/>
        <w:ind w:hanging="360" w:left="6840"/>
      </w:pPr>
      <w:rPr>
        <w:rFonts w:hint="default" w:ascii="Wingdings" w:hAnsi="Wingdings"/>
        <w:sz w:val="20"/>
      </w:rPr>
      <w:start w:val="1"/>
      <w:suff w:val="tab"/>
    </w:lvl>
  </w:abstractNum>
  <w:abstractNum w:abstractNumId="20">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
      <w:numFmt w:val="bullet"/>
      <w:pPr>
        <w:pBdr/>
        <w:tabs>
          <w:tab w:val="num" w:leader="none" w:pos="2160"/>
        </w:tabs>
        <w:spacing/>
        <w:ind w:hanging="360" w:left="2160"/>
      </w:pPr>
      <w:rPr>
        <w:rFonts w:hint="default" w:ascii="Wingdings" w:hAnsi="Wingdings"/>
        <w:sz w:val="20"/>
      </w:rPr>
      <w:start w:val="1"/>
      <w:suff w:val="tab"/>
    </w:lvl>
    <w:lvl w:ilvl="3">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4">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5">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6">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7">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8">
      <w:isLgl w:val="false"/>
      <w:lvlJc w:val="left"/>
      <w:lvlText w:val=""/>
      <w:numFmt w:val="bullet"/>
      <w:pPr>
        <w:pBdr/>
        <w:tabs>
          <w:tab w:val="num" w:leader="none" w:pos="6480"/>
        </w:tabs>
        <w:spacing/>
        <w:ind w:hanging="360" w:left="6480"/>
      </w:pPr>
      <w:rPr>
        <w:rFonts w:hint="default" w:ascii="Wingdings" w:hAnsi="Wingdings"/>
        <w:sz w:val="20"/>
      </w:rPr>
      <w:start w:val="1"/>
      <w:suff w:val="tab"/>
    </w:lvl>
  </w:abstractNum>
  <w:abstractNum w:abstractNumId="21">
    <w:lvl w:ilvl="0">
      <w:isLgl w:val="false"/>
      <w:lvlJc w:val="left"/>
      <w:lvlText w:val=""/>
      <w:numFmt w:val="bullet"/>
      <w:pPr>
        <w:pBdr/>
        <w:tabs>
          <w:tab w:val="num" w:leader="none" w:pos="1440"/>
        </w:tabs>
        <w:spacing/>
        <w:ind w:hanging="360" w:left="1440"/>
      </w:pPr>
      <w:rPr>
        <w:rFonts w:hint="default" w:ascii="Symbol" w:hAnsi="Symbol"/>
        <w:sz w:val="20"/>
      </w:rPr>
      <w:start w:val="1"/>
      <w:suff w:val="tab"/>
    </w:lvl>
    <w:lvl w:ilvl="1">
      <w:isLgl w:val="false"/>
      <w:lvlJc w:val="left"/>
      <w:lvlText w:val="o"/>
      <w:numFmt w:val="bullet"/>
      <w:pPr>
        <w:pBdr/>
        <w:tabs>
          <w:tab w:val="num" w:leader="none" w:pos="2160"/>
        </w:tabs>
        <w:spacing/>
        <w:ind w:hanging="360" w:left="2160"/>
      </w:pPr>
      <w:rPr>
        <w:rFonts w:hint="default" w:ascii="Courier New" w:hAnsi="Courier New"/>
        <w:sz w:val="20"/>
      </w:rPr>
      <w:start w:val="1"/>
      <w:suff w:val="tab"/>
    </w:lvl>
    <w:lvl w:ilvl="2">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3">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4">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5">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6">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7">
      <w:isLgl w:val="false"/>
      <w:lvlJc w:val="left"/>
      <w:lvlText w:val=""/>
      <w:numFmt w:val="bullet"/>
      <w:pPr>
        <w:pBdr/>
        <w:tabs>
          <w:tab w:val="num" w:leader="none" w:pos="6480"/>
        </w:tabs>
        <w:spacing/>
        <w:ind w:hanging="360" w:left="6480"/>
      </w:pPr>
      <w:rPr>
        <w:rFonts w:hint="default" w:ascii="Wingdings" w:hAnsi="Wingdings"/>
        <w:sz w:val="20"/>
      </w:rPr>
      <w:start w:val="1"/>
      <w:suff w:val="tab"/>
    </w:lvl>
    <w:lvl w:ilvl="8">
      <w:isLgl w:val="false"/>
      <w:lvlJc w:val="left"/>
      <w:lvlText w:val=""/>
      <w:numFmt w:val="bullet"/>
      <w:pPr>
        <w:pBdr/>
        <w:tabs>
          <w:tab w:val="num" w:leader="none" w:pos="7200"/>
        </w:tabs>
        <w:spacing/>
        <w:ind w:hanging="360" w:left="7200"/>
      </w:pPr>
      <w:rPr>
        <w:rFonts w:hint="default" w:ascii="Wingdings" w:hAnsi="Wingdings"/>
        <w:sz w:val="20"/>
      </w:rPr>
      <w:start w:val="1"/>
      <w:suff w:val="tab"/>
    </w:lvl>
  </w:abstractNum>
  <w:abstractNum w:abstractNumId="22">
    <w:lvl w:ilvl="0">
      <w:isLgl w:val="false"/>
      <w:lvlJc w:val="left"/>
      <w:lvlText w:val=""/>
      <w:numFmt w:val="bullet"/>
      <w:pPr>
        <w:pBdr/>
        <w:tabs>
          <w:tab w:val="num" w:leader="none" w:pos="1440"/>
        </w:tabs>
        <w:spacing/>
        <w:ind w:hanging="360" w:left="1440"/>
      </w:pPr>
      <w:rPr>
        <w:rFonts w:hint="default" w:ascii="Symbol" w:hAnsi="Symbol"/>
        <w:sz w:val="20"/>
      </w:rPr>
      <w:start w:val="1"/>
      <w:suff w:val="tab"/>
    </w:lvl>
    <w:lvl w:ilvl="1">
      <w:isLgl w:val="false"/>
      <w:lvlJc w:val="left"/>
      <w:lvlText w:val="o"/>
      <w:numFmt w:val="bullet"/>
      <w:pPr>
        <w:pBdr/>
        <w:tabs>
          <w:tab w:val="num" w:leader="none" w:pos="2160"/>
        </w:tabs>
        <w:spacing/>
        <w:ind w:hanging="360" w:left="2160"/>
      </w:pPr>
      <w:rPr>
        <w:rFonts w:hint="default" w:ascii="Courier New" w:hAnsi="Courier New"/>
        <w:sz w:val="20"/>
      </w:rPr>
      <w:start w:val="1"/>
      <w:suff w:val="tab"/>
    </w:lvl>
    <w:lvl w:ilvl="2">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3">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4">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5">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6">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7">
      <w:isLgl w:val="false"/>
      <w:lvlJc w:val="left"/>
      <w:lvlText w:val=""/>
      <w:numFmt w:val="bullet"/>
      <w:pPr>
        <w:pBdr/>
        <w:tabs>
          <w:tab w:val="num" w:leader="none" w:pos="6480"/>
        </w:tabs>
        <w:spacing/>
        <w:ind w:hanging="360" w:left="6480"/>
      </w:pPr>
      <w:rPr>
        <w:rFonts w:hint="default" w:ascii="Wingdings" w:hAnsi="Wingdings"/>
        <w:sz w:val="20"/>
      </w:rPr>
      <w:start w:val="1"/>
      <w:suff w:val="tab"/>
    </w:lvl>
    <w:lvl w:ilvl="8">
      <w:isLgl w:val="false"/>
      <w:lvlJc w:val="left"/>
      <w:lvlText w:val=""/>
      <w:numFmt w:val="bullet"/>
      <w:pPr>
        <w:pBdr/>
        <w:tabs>
          <w:tab w:val="num" w:leader="none" w:pos="7200"/>
        </w:tabs>
        <w:spacing/>
        <w:ind w:hanging="360" w:left="7200"/>
      </w:pPr>
      <w:rPr>
        <w:rFonts w:hint="default" w:ascii="Wingdings" w:hAnsi="Wingdings"/>
        <w:sz w:val="20"/>
      </w:rPr>
      <w:start w:val="1"/>
      <w:suff w:val="tab"/>
    </w:lvl>
  </w:abstractNum>
  <w:abstractNum w:abstractNumId="23">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
      <w:numFmt w:val="bullet"/>
      <w:pPr>
        <w:pBdr/>
        <w:tabs>
          <w:tab w:val="num" w:leader="none" w:pos="2160"/>
        </w:tabs>
        <w:spacing/>
        <w:ind w:hanging="360" w:left="2160"/>
      </w:pPr>
      <w:rPr>
        <w:rFonts w:hint="default" w:ascii="Wingdings" w:hAnsi="Wingdings"/>
        <w:sz w:val="20"/>
      </w:rPr>
      <w:start w:val="1"/>
      <w:suff w:val="tab"/>
    </w:lvl>
    <w:lvl w:ilvl="3">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4">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5">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6">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7">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8">
      <w:isLgl w:val="false"/>
      <w:lvlJc w:val="left"/>
      <w:lvlText w:val=""/>
      <w:numFmt w:val="bullet"/>
      <w:pPr>
        <w:pBdr/>
        <w:tabs>
          <w:tab w:val="num" w:leader="none" w:pos="6480"/>
        </w:tabs>
        <w:spacing/>
        <w:ind w:hanging="360" w:left="6480"/>
      </w:pPr>
      <w:rPr>
        <w:rFonts w:hint="default" w:ascii="Wingdings" w:hAnsi="Wingdings"/>
        <w:sz w:val="20"/>
      </w:rPr>
      <w:start w:val="1"/>
      <w:suff w:val="tab"/>
    </w:lvl>
  </w:abstractNum>
  <w:abstractNum w:abstractNumId="24">
    <w:lvl w:ilvl="0">
      <w:isLgl w:val="false"/>
      <w:lvlJc w:val="left"/>
      <w:lvlText w:val="%1."/>
      <w:numFmt w:val="decimal"/>
      <w:pPr>
        <w:pBdr/>
        <w:tabs>
          <w:tab w:val="num" w:leader="none" w:pos="720"/>
        </w:tabs>
        <w:spacing/>
        <w:ind w:hanging="360" w:left="720"/>
      </w:pPr>
      <w:rPr/>
      <w:start w:val="4"/>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25">
    <w:lvl w:ilvl="0">
      <w:isLgl w:val="false"/>
      <w:lvlJc w:val="left"/>
      <w:lvlText w:val="%1."/>
      <w:numFmt w:val="decimal"/>
      <w:pPr>
        <w:pBdr/>
        <w:tabs>
          <w:tab w:val="num" w:leader="none" w:pos="720"/>
        </w:tabs>
        <w:spacing/>
        <w:ind w:hanging="360" w:left="720"/>
      </w:pPr>
      <w:rPr/>
      <w:start w:val="1"/>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26">
    <w:lvl w:ilvl="0">
      <w:isLgl w:val="false"/>
      <w:lvlJc w:val="right"/>
      <w:lvlText w:val="%1."/>
      <w:numFmt w:val="upperRoman"/>
      <w:pPr>
        <w:pBdr/>
        <w:tabs>
          <w:tab w:val="num" w:leader="none" w:pos="720"/>
        </w:tabs>
        <w:spacing/>
        <w:ind w:hanging="360" w:left="720"/>
      </w:pPr>
      <w:rPr/>
      <w:start w:val="3"/>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27">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
      <w:numFmt w:val="bullet"/>
      <w:pPr>
        <w:pBdr/>
        <w:tabs>
          <w:tab w:val="num" w:leader="none" w:pos="2160"/>
        </w:tabs>
        <w:spacing/>
        <w:ind w:hanging="360" w:left="2160"/>
      </w:pPr>
      <w:rPr>
        <w:rFonts w:hint="default" w:ascii="Wingdings" w:hAnsi="Wingdings"/>
        <w:sz w:val="20"/>
      </w:rPr>
      <w:start w:val="1"/>
      <w:suff w:val="tab"/>
    </w:lvl>
    <w:lvl w:ilvl="3">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4">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5">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6">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7">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8">
      <w:isLgl w:val="false"/>
      <w:lvlJc w:val="left"/>
      <w:lvlText w:val=""/>
      <w:numFmt w:val="bullet"/>
      <w:pPr>
        <w:pBdr/>
        <w:tabs>
          <w:tab w:val="num" w:leader="none" w:pos="6480"/>
        </w:tabs>
        <w:spacing/>
        <w:ind w:hanging="360" w:left="6480"/>
      </w:pPr>
      <w:rPr>
        <w:rFonts w:hint="default" w:ascii="Wingdings" w:hAnsi="Wingdings"/>
        <w:sz w:val="20"/>
      </w:rPr>
      <w:start w:val="1"/>
      <w:suff w:val="tab"/>
    </w:lvl>
  </w:abstractNum>
  <w:abstractNum w:abstractNumId="28">
    <w:lvl w:ilvl="0">
      <w:isLgl w:val="false"/>
      <w:lvlJc w:val="left"/>
      <w:lvlText w:val="%1."/>
      <w:numFmt w:val="decimal"/>
      <w:pPr>
        <w:pBdr/>
        <w:tabs>
          <w:tab w:val="num" w:leader="none" w:pos="720"/>
        </w:tabs>
        <w:spacing/>
        <w:ind w:hanging="360" w:left="720"/>
      </w:pPr>
      <w:rPr/>
      <w:start w:val="1"/>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29">
    <w:lvl w:ilvl="0">
      <w:isLgl w:val="false"/>
      <w:lvlJc w:val="left"/>
      <w:lvlText w:val="%1."/>
      <w:numFmt w:val="decimal"/>
      <w:pPr>
        <w:pBdr/>
        <w:tabs>
          <w:tab w:val="num" w:leader="none" w:pos="720"/>
        </w:tabs>
        <w:spacing/>
        <w:ind w:hanging="360" w:left="720"/>
      </w:pPr>
      <w:rPr/>
      <w:start w:val="2"/>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30">
    <w:lvl w:ilvl="0">
      <w:isLgl w:val="false"/>
      <w:lvlJc w:val="right"/>
      <w:lvlText w:val="%1."/>
      <w:numFmt w:val="upperRoman"/>
      <w:pPr>
        <w:pBdr/>
        <w:tabs>
          <w:tab w:val="num" w:leader="none" w:pos="720"/>
        </w:tabs>
        <w:spacing/>
        <w:ind w:hanging="360" w:left="720"/>
      </w:pPr>
      <w:rPr/>
      <w:start w:val="8"/>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31">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
      <w:numFmt w:val="bullet"/>
      <w:pPr>
        <w:pBdr/>
        <w:tabs>
          <w:tab w:val="num" w:leader="none" w:pos="2160"/>
        </w:tabs>
        <w:spacing/>
        <w:ind w:hanging="360" w:left="2160"/>
      </w:pPr>
      <w:rPr>
        <w:rFonts w:hint="default" w:ascii="Wingdings" w:hAnsi="Wingdings"/>
        <w:sz w:val="20"/>
      </w:rPr>
      <w:start w:val="1"/>
      <w:suff w:val="tab"/>
    </w:lvl>
    <w:lvl w:ilvl="3">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4">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5">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6">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7">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8">
      <w:isLgl w:val="false"/>
      <w:lvlJc w:val="left"/>
      <w:lvlText w:val=""/>
      <w:numFmt w:val="bullet"/>
      <w:pPr>
        <w:pBdr/>
        <w:tabs>
          <w:tab w:val="num" w:leader="none" w:pos="6480"/>
        </w:tabs>
        <w:spacing/>
        <w:ind w:hanging="360" w:left="6480"/>
      </w:pPr>
      <w:rPr>
        <w:rFonts w:hint="default" w:ascii="Wingdings" w:hAnsi="Wingdings"/>
        <w:sz w:val="20"/>
      </w:rPr>
      <w:start w:val="1"/>
      <w:suff w:val="tab"/>
    </w:lvl>
  </w:abstractNum>
  <w:abstractNum w:abstractNumId="32">
    <w:lvl w:ilvl="0">
      <w:isLgl w:val="false"/>
      <w:lvlJc w:val="right"/>
      <w:lvlText w:val="%1."/>
      <w:numFmt w:val="upperRoman"/>
      <w:pPr>
        <w:pBdr/>
        <w:tabs>
          <w:tab w:val="num" w:leader="none" w:pos="720"/>
        </w:tabs>
        <w:spacing/>
        <w:ind w:hanging="360" w:left="720"/>
      </w:pPr>
      <w:rPr/>
      <w:start w:val="7"/>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33">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
      <w:numFmt w:val="bullet"/>
      <w:pPr>
        <w:pBdr/>
        <w:tabs>
          <w:tab w:val="num" w:leader="none" w:pos="2160"/>
        </w:tabs>
        <w:spacing/>
        <w:ind w:hanging="360" w:left="2160"/>
      </w:pPr>
      <w:rPr>
        <w:rFonts w:hint="default" w:ascii="Wingdings" w:hAnsi="Wingdings"/>
        <w:sz w:val="20"/>
      </w:rPr>
      <w:start w:val="1"/>
      <w:suff w:val="tab"/>
    </w:lvl>
    <w:lvl w:ilvl="3">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4">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5">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6">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7">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8">
      <w:isLgl w:val="false"/>
      <w:lvlJc w:val="left"/>
      <w:lvlText w:val=""/>
      <w:numFmt w:val="bullet"/>
      <w:pPr>
        <w:pBdr/>
        <w:tabs>
          <w:tab w:val="num" w:leader="none" w:pos="6480"/>
        </w:tabs>
        <w:spacing/>
        <w:ind w:hanging="360" w:left="6480"/>
      </w:pPr>
      <w:rPr>
        <w:rFonts w:hint="default" w:ascii="Wingdings" w:hAnsi="Wingdings"/>
        <w:sz w:val="20"/>
      </w:rPr>
      <w:start w:val="1"/>
      <w:suff w:val="tab"/>
    </w:lvl>
  </w:abstractNum>
  <w:abstractNum w:abstractNumId="34">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
      <w:numFmt w:val="bullet"/>
      <w:pPr>
        <w:pBdr/>
        <w:tabs>
          <w:tab w:val="num" w:leader="none" w:pos="2160"/>
        </w:tabs>
        <w:spacing/>
        <w:ind w:hanging="360" w:left="2160"/>
      </w:pPr>
      <w:rPr>
        <w:rFonts w:hint="default" w:ascii="Wingdings" w:hAnsi="Wingdings"/>
        <w:sz w:val="20"/>
      </w:rPr>
      <w:start w:val="1"/>
      <w:suff w:val="tab"/>
    </w:lvl>
    <w:lvl w:ilvl="3">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4">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5">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6">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7">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8">
      <w:isLgl w:val="false"/>
      <w:lvlJc w:val="left"/>
      <w:lvlText w:val=""/>
      <w:numFmt w:val="bullet"/>
      <w:pPr>
        <w:pBdr/>
        <w:tabs>
          <w:tab w:val="num" w:leader="none" w:pos="6480"/>
        </w:tabs>
        <w:spacing/>
        <w:ind w:hanging="360" w:left="6480"/>
      </w:pPr>
      <w:rPr>
        <w:rFonts w:hint="default" w:ascii="Wingdings" w:hAnsi="Wingdings"/>
        <w:sz w:val="20"/>
      </w:rPr>
      <w:start w:val="1"/>
      <w:suff w:val="tab"/>
    </w:lvl>
  </w:abstractNum>
  <w:abstractNum w:abstractNumId="35">
    <w:lvl w:ilvl="0">
      <w:isLgl w:val="false"/>
      <w:lvlJc w:val="left"/>
      <w:lvlText w:val="%1."/>
      <w:numFmt w:val="decimal"/>
      <w:pPr>
        <w:pBdr/>
        <w:tabs>
          <w:tab w:val="num" w:leader="none" w:pos="720"/>
        </w:tabs>
        <w:spacing/>
        <w:ind w:hanging="360" w:left="720"/>
      </w:pPr>
      <w:rPr/>
      <w:start w:val="5"/>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36">
    <w:lvl w:ilvl="0">
      <w:isLgl w:val="false"/>
      <w:lvlJc w:val="left"/>
      <w:lvlText w:val="%1."/>
      <w:numFmt w:val="decimal"/>
      <w:pPr>
        <w:pBdr/>
        <w:tabs>
          <w:tab w:val="num" w:leader="none" w:pos="720"/>
        </w:tabs>
        <w:spacing/>
        <w:ind w:hanging="360" w:left="720"/>
      </w:pPr>
      <w:rPr/>
      <w:start w:val="2"/>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37">
    <w:lvl w:ilvl="0">
      <w:isLgl w:val="false"/>
      <w:lvlJc w:val="left"/>
      <w:lvlText w:val="%1."/>
      <w:numFmt w:val="upperLetter"/>
      <w:pPr>
        <w:pBdr/>
        <w:tabs>
          <w:tab w:val="num" w:leader="none" w:pos="720"/>
        </w:tabs>
        <w:spacing/>
        <w:ind w:hanging="360" w:left="720"/>
      </w:pPr>
      <w:rPr/>
      <w:start w:val="4"/>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38">
    <w:lvl w:ilvl="0">
      <w:isLgl w:val="false"/>
      <w:lvlJc w:val="right"/>
      <w:lvlText w:val="%1."/>
      <w:numFmt w:val="upperRoman"/>
      <w:pPr>
        <w:pBdr/>
        <w:tabs>
          <w:tab w:val="num" w:leader="none" w:pos="720"/>
        </w:tabs>
        <w:spacing/>
        <w:ind w:hanging="360" w:left="720"/>
      </w:pPr>
      <w:rPr/>
      <w:start w:val="6"/>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39">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
      <w:numFmt w:val="bullet"/>
      <w:pPr>
        <w:pBdr/>
        <w:tabs>
          <w:tab w:val="num" w:leader="none" w:pos="2160"/>
        </w:tabs>
        <w:spacing/>
        <w:ind w:hanging="360" w:left="2160"/>
      </w:pPr>
      <w:rPr>
        <w:rFonts w:hint="default" w:ascii="Wingdings" w:hAnsi="Wingdings"/>
        <w:sz w:val="20"/>
      </w:rPr>
      <w:start w:val="1"/>
      <w:suff w:val="tab"/>
    </w:lvl>
    <w:lvl w:ilvl="3">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4">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5">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6">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7">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8">
      <w:isLgl w:val="false"/>
      <w:lvlJc w:val="left"/>
      <w:lvlText w:val=""/>
      <w:numFmt w:val="bullet"/>
      <w:pPr>
        <w:pBdr/>
        <w:tabs>
          <w:tab w:val="num" w:leader="none" w:pos="6480"/>
        </w:tabs>
        <w:spacing/>
        <w:ind w:hanging="360" w:left="6480"/>
      </w:pPr>
      <w:rPr>
        <w:rFonts w:hint="default" w:ascii="Wingdings" w:hAnsi="Wingdings"/>
        <w:sz w:val="20"/>
      </w:rPr>
      <w:start w:val="1"/>
      <w:suff w:val="tab"/>
    </w:lvl>
  </w:abstractNum>
  <w:abstractNum w:abstractNumId="40">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
      <w:numFmt w:val="bullet"/>
      <w:pPr>
        <w:pBdr/>
        <w:tabs>
          <w:tab w:val="num" w:leader="none" w:pos="2160"/>
        </w:tabs>
        <w:spacing/>
        <w:ind w:hanging="360" w:left="2160"/>
      </w:pPr>
      <w:rPr>
        <w:rFonts w:hint="default" w:ascii="Wingdings" w:hAnsi="Wingdings"/>
        <w:sz w:val="20"/>
      </w:rPr>
      <w:start w:val="1"/>
      <w:suff w:val="tab"/>
    </w:lvl>
    <w:lvl w:ilvl="3">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4">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5">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6">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7">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8">
      <w:isLgl w:val="false"/>
      <w:lvlJc w:val="left"/>
      <w:lvlText w:val=""/>
      <w:numFmt w:val="bullet"/>
      <w:pPr>
        <w:pBdr/>
        <w:tabs>
          <w:tab w:val="num" w:leader="none" w:pos="6480"/>
        </w:tabs>
        <w:spacing/>
        <w:ind w:hanging="360" w:left="6480"/>
      </w:pPr>
      <w:rPr>
        <w:rFonts w:hint="default" w:ascii="Wingdings" w:hAnsi="Wingdings"/>
        <w:sz w:val="20"/>
      </w:rPr>
      <w:start w:val="1"/>
      <w:suff w:val="tab"/>
    </w:lvl>
  </w:abstractNum>
  <w:abstractNum w:abstractNumId="41">
    <w:lvl w:ilvl="0">
      <w:isLgl w:val="false"/>
      <w:lvlJc w:val="left"/>
      <w:lvlText w:val="%1."/>
      <w:numFmt w:val="decimal"/>
      <w:pPr>
        <w:pBdr/>
        <w:tabs>
          <w:tab w:val="num" w:leader="none" w:pos="720"/>
        </w:tabs>
        <w:spacing/>
        <w:ind w:hanging="360" w:left="720"/>
      </w:pPr>
      <w:rPr/>
      <w:start w:val="1"/>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42">
    <w:lvl w:ilvl="0">
      <w:isLgl w:val="false"/>
      <w:lvlJc w:val="left"/>
      <w:lvlText w:val=""/>
      <w:numFmt w:val="bullet"/>
      <w:pPr>
        <w:pBdr/>
        <w:tabs>
          <w:tab w:val="num" w:leader="none" w:pos="1440"/>
        </w:tabs>
        <w:spacing/>
        <w:ind w:hanging="360" w:left="1440"/>
      </w:pPr>
      <w:rPr>
        <w:rFonts w:hint="default" w:ascii="Symbol" w:hAnsi="Symbol"/>
        <w:sz w:val="20"/>
      </w:rPr>
      <w:start w:val="1"/>
      <w:suff w:val="tab"/>
    </w:lvl>
    <w:lvl w:ilvl="1">
      <w:isLgl w:val="false"/>
      <w:lvlJc w:val="left"/>
      <w:lvlText w:val="o"/>
      <w:numFmt w:val="bullet"/>
      <w:pPr>
        <w:pBdr/>
        <w:tabs>
          <w:tab w:val="num" w:leader="none" w:pos="2160"/>
        </w:tabs>
        <w:spacing/>
        <w:ind w:hanging="360" w:left="2160"/>
      </w:pPr>
      <w:rPr>
        <w:rFonts w:hint="default" w:ascii="Courier New" w:hAnsi="Courier New"/>
        <w:sz w:val="20"/>
      </w:rPr>
      <w:start w:val="1"/>
      <w:suff w:val="tab"/>
    </w:lvl>
    <w:lvl w:ilvl="2">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3">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4">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5">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6">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7">
      <w:isLgl w:val="false"/>
      <w:lvlJc w:val="left"/>
      <w:lvlText w:val=""/>
      <w:numFmt w:val="bullet"/>
      <w:pPr>
        <w:pBdr/>
        <w:tabs>
          <w:tab w:val="num" w:leader="none" w:pos="6480"/>
        </w:tabs>
        <w:spacing/>
        <w:ind w:hanging="360" w:left="6480"/>
      </w:pPr>
      <w:rPr>
        <w:rFonts w:hint="default" w:ascii="Wingdings" w:hAnsi="Wingdings"/>
        <w:sz w:val="20"/>
      </w:rPr>
      <w:start w:val="1"/>
      <w:suff w:val="tab"/>
    </w:lvl>
    <w:lvl w:ilvl="8">
      <w:isLgl w:val="false"/>
      <w:lvlJc w:val="left"/>
      <w:lvlText w:val=""/>
      <w:numFmt w:val="bullet"/>
      <w:pPr>
        <w:pBdr/>
        <w:tabs>
          <w:tab w:val="num" w:leader="none" w:pos="7200"/>
        </w:tabs>
        <w:spacing/>
        <w:ind w:hanging="360" w:left="7200"/>
      </w:pPr>
      <w:rPr>
        <w:rFonts w:hint="default" w:ascii="Wingdings" w:hAnsi="Wingdings"/>
        <w:sz w:val="20"/>
      </w:rPr>
      <w:start w:val="1"/>
      <w:suff w:val="tab"/>
    </w:lvl>
  </w:abstractNum>
  <w:abstractNum w:abstractNumId="43">
    <w:lvl w:ilvl="0">
      <w:isLgl w:val="false"/>
      <w:lvlJc w:val="right"/>
      <w:lvlText w:val="%1."/>
      <w:numFmt w:val="upperRoman"/>
      <w:pPr>
        <w:pBdr/>
        <w:tabs>
          <w:tab w:val="num" w:leader="none" w:pos="720"/>
        </w:tabs>
        <w:spacing/>
        <w:ind w:hanging="360" w:left="720"/>
      </w:pPr>
      <w:rPr/>
      <w:start w:val="2"/>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44">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
      <w:numFmt w:val="bullet"/>
      <w:pPr>
        <w:pBdr/>
        <w:tabs>
          <w:tab w:val="num" w:leader="none" w:pos="2160"/>
        </w:tabs>
        <w:spacing/>
        <w:ind w:hanging="360" w:left="2160"/>
      </w:pPr>
      <w:rPr>
        <w:rFonts w:hint="default" w:ascii="Wingdings" w:hAnsi="Wingdings"/>
        <w:sz w:val="20"/>
      </w:rPr>
      <w:start w:val="1"/>
      <w:suff w:val="tab"/>
    </w:lvl>
    <w:lvl w:ilvl="3">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4">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5">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6">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7">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8">
      <w:isLgl w:val="false"/>
      <w:lvlJc w:val="left"/>
      <w:lvlText w:val=""/>
      <w:numFmt w:val="bullet"/>
      <w:pPr>
        <w:pBdr/>
        <w:tabs>
          <w:tab w:val="num" w:leader="none" w:pos="6480"/>
        </w:tabs>
        <w:spacing/>
        <w:ind w:hanging="360" w:left="6480"/>
      </w:pPr>
      <w:rPr>
        <w:rFonts w:hint="default" w:ascii="Wingdings" w:hAnsi="Wingdings"/>
        <w:sz w:val="20"/>
      </w:rPr>
      <w:start w:val="1"/>
      <w:suff w:val="tab"/>
    </w:lvl>
  </w:abstractNum>
  <w:abstractNum w:abstractNumId="45">
    <w:lvl w:ilvl="0">
      <w:isLgl w:val="false"/>
      <w:lvlJc w:val="left"/>
      <w:lvlText w:val=""/>
      <w:numFmt w:val="bullet"/>
      <w:pPr>
        <w:pBdr/>
        <w:tabs>
          <w:tab w:val="num" w:leader="none" w:pos="1440"/>
        </w:tabs>
        <w:spacing/>
        <w:ind w:hanging="360" w:left="1440"/>
      </w:pPr>
      <w:rPr>
        <w:rFonts w:hint="default" w:ascii="Symbol" w:hAnsi="Symbol"/>
        <w:sz w:val="20"/>
      </w:rPr>
      <w:start w:val="1"/>
      <w:suff w:val="tab"/>
    </w:lvl>
    <w:lvl w:ilvl="1">
      <w:isLgl w:val="false"/>
      <w:lvlJc w:val="left"/>
      <w:lvlText w:val="o"/>
      <w:numFmt w:val="bullet"/>
      <w:pPr>
        <w:pBdr/>
        <w:tabs>
          <w:tab w:val="num" w:leader="none" w:pos="2160"/>
        </w:tabs>
        <w:spacing/>
        <w:ind w:hanging="360" w:left="2160"/>
      </w:pPr>
      <w:rPr>
        <w:rFonts w:hint="default" w:ascii="Courier New" w:hAnsi="Courier New"/>
        <w:sz w:val="20"/>
      </w:rPr>
      <w:start w:val="1"/>
      <w:suff w:val="tab"/>
    </w:lvl>
    <w:lvl w:ilvl="2">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3">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4">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5">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6">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7">
      <w:isLgl w:val="false"/>
      <w:lvlJc w:val="left"/>
      <w:lvlText w:val=""/>
      <w:numFmt w:val="bullet"/>
      <w:pPr>
        <w:pBdr/>
        <w:tabs>
          <w:tab w:val="num" w:leader="none" w:pos="6480"/>
        </w:tabs>
        <w:spacing/>
        <w:ind w:hanging="360" w:left="6480"/>
      </w:pPr>
      <w:rPr>
        <w:rFonts w:hint="default" w:ascii="Wingdings" w:hAnsi="Wingdings"/>
        <w:sz w:val="20"/>
      </w:rPr>
      <w:start w:val="1"/>
      <w:suff w:val="tab"/>
    </w:lvl>
    <w:lvl w:ilvl="8">
      <w:isLgl w:val="false"/>
      <w:lvlJc w:val="left"/>
      <w:lvlText w:val=""/>
      <w:numFmt w:val="bullet"/>
      <w:pPr>
        <w:pBdr/>
        <w:tabs>
          <w:tab w:val="num" w:leader="none" w:pos="7200"/>
        </w:tabs>
        <w:spacing/>
        <w:ind w:hanging="360" w:left="7200"/>
      </w:pPr>
      <w:rPr>
        <w:rFonts w:hint="default" w:ascii="Wingdings" w:hAnsi="Wingdings"/>
        <w:sz w:val="20"/>
      </w:rPr>
      <w:start w:val="1"/>
      <w:suff w:val="tab"/>
    </w:lvl>
  </w:abstractNum>
  <w:abstractNum w:abstractNumId="46">
    <w:lvl w:ilvl="0">
      <w:isLgl w:val="false"/>
      <w:lvlJc w:val="left"/>
      <w:lvlText w:val="%1."/>
      <w:numFmt w:val="upperLetter"/>
      <w:pPr>
        <w:pBdr/>
        <w:tabs>
          <w:tab w:val="num" w:leader="none" w:pos="720"/>
        </w:tabs>
        <w:spacing/>
        <w:ind w:hanging="360" w:left="720"/>
      </w:pPr>
      <w:rPr/>
      <w:start w:val="5"/>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47">
    <w:lvl w:ilvl="0">
      <w:isLgl w:val="false"/>
      <w:lvlJc w:val="left"/>
      <w:lvlText w:val="%1."/>
      <w:numFmt w:val="upperRoman"/>
      <w:pPr>
        <w:pBdr/>
        <w:spacing/>
        <w:ind w:hanging="360" w:left="360"/>
      </w:pPr>
      <w:pStyle w:val="734"/>
      <w:rPr>
        <w:rFonts w:hint="default"/>
      </w:rPr>
      <w:start w:val="1"/>
      <w:suff w:val="tab"/>
    </w:lvl>
    <w:lvl w:ilvl="1">
      <w:isLgl w:val="false"/>
      <w:lvlJc w:val="left"/>
      <w:lvlText w:val="%2"/>
      <w:numFmt w:val="none"/>
      <w:pPr>
        <w:pBdr/>
        <w:spacing/>
        <w:ind w:firstLine="0" w:left="360"/>
      </w:pPr>
      <w:pStyle w:val="735"/>
      <w:rPr>
        <w:rFonts w:hint="default"/>
      </w:rPr>
      <w:start w:val="1"/>
      <w:suff w:val="tab"/>
    </w:lvl>
    <w:lvl w:ilvl="2">
      <w:isLgl w:val="false"/>
      <w:lvlJc w:val="left"/>
      <w:lvlText w:val="%3."/>
      <w:numFmt w:val="decimal"/>
      <w:pPr>
        <w:pBdr/>
        <w:spacing/>
        <w:ind w:hanging="360" w:left="1080"/>
      </w:pPr>
      <w:pStyle w:val="736"/>
      <w:rPr>
        <w:rFonts w:hint="default"/>
      </w:rPr>
      <w:start w:val="1"/>
      <w:suff w:val="tab"/>
    </w:lvl>
    <w:lvl w:ilvl="3">
      <w:isLgl w:val="false"/>
      <w:lvlJc w:val="left"/>
      <w:lvlText w:val="(%4)"/>
      <w:numFmt w:val="decimal"/>
      <w:pPr>
        <w:pBdr/>
        <w:spacing/>
        <w:ind w:hanging="360" w:left="1440"/>
      </w:pPr>
      <w:rPr>
        <w:rFonts w:hint="default"/>
      </w:rPr>
      <w:start w:val="1"/>
      <w:suff w:val="tab"/>
    </w:lvl>
    <w:lvl w:ilvl="4">
      <w:isLgl w:val="false"/>
      <w:lvlJc w:val="left"/>
      <w:lvlText w:val="(%5)"/>
      <w:numFmt w:val="lowerLetter"/>
      <w:pPr>
        <w:pBdr/>
        <w:spacing/>
        <w:ind w:hanging="360" w:left="1800"/>
      </w:pPr>
      <w:rPr>
        <w:rFonts w:hint="default"/>
      </w:rPr>
      <w:start w:val="1"/>
      <w:suff w:val="tab"/>
    </w:lvl>
    <w:lvl w:ilvl="5">
      <w:isLgl w:val="false"/>
      <w:lvlJc w:val="left"/>
      <w:lvlText w:val="(%6)"/>
      <w:numFmt w:val="lowerRoman"/>
      <w:pPr>
        <w:pBdr/>
        <w:spacing/>
        <w:ind w:hanging="360" w:left="2160"/>
      </w:pPr>
      <w:rPr>
        <w:rFonts w:hint="default"/>
      </w:rPr>
      <w:start w:val="1"/>
      <w:suff w:val="tab"/>
    </w:lvl>
    <w:lvl w:ilvl="6">
      <w:isLgl w:val="false"/>
      <w:lvlJc w:val="left"/>
      <w:lvlText w:val="%7."/>
      <w:numFmt w:val="decimal"/>
      <w:pPr>
        <w:pBdr/>
        <w:spacing/>
        <w:ind w:hanging="360" w:left="2520"/>
      </w:pPr>
      <w:rPr>
        <w:rFonts w:hint="default"/>
      </w:rPr>
      <w:start w:val="1"/>
      <w:suff w:val="tab"/>
    </w:lvl>
    <w:lvl w:ilvl="7">
      <w:isLgl w:val="false"/>
      <w:lvlJc w:val="left"/>
      <w:lvlText w:val="%8."/>
      <w:numFmt w:val="lowerLetter"/>
      <w:pPr>
        <w:pBdr/>
        <w:spacing/>
        <w:ind w:hanging="360" w:left="2880"/>
      </w:pPr>
      <w:rPr>
        <w:rFonts w:hint="default"/>
      </w:rPr>
      <w:start w:val="1"/>
      <w:suff w:val="tab"/>
    </w:lvl>
    <w:lvl w:ilvl="8">
      <w:isLgl w:val="false"/>
      <w:lvlJc w:val="left"/>
      <w:lvlText w:val="%9."/>
      <w:numFmt w:val="lowerRoman"/>
      <w:pPr>
        <w:pBdr/>
        <w:spacing/>
        <w:ind w:hanging="360" w:left="3240"/>
      </w:pPr>
      <w:rPr>
        <w:rFonts w:hint="default"/>
      </w:rPr>
      <w:start w:val="1"/>
      <w:suff w:val="tab"/>
    </w:lvl>
  </w:abstractNum>
  <w:abstractNum w:abstractNumId="48">
    <w:lvl w:ilvl="0">
      <w:isLgl w:val="false"/>
      <w:lvlJc w:val="left"/>
      <w:lvlText w:val="%1."/>
      <w:numFmt w:val="upperLetter"/>
      <w:pPr>
        <w:pBdr/>
        <w:tabs>
          <w:tab w:val="num" w:leader="none" w:pos="720"/>
        </w:tabs>
        <w:spacing/>
        <w:ind w:hanging="360" w:left="720"/>
      </w:pPr>
      <w:rPr/>
      <w:start w:val="3"/>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49">
    <w:lvl w:ilvl="0">
      <w:isLgl w:val="false"/>
      <w:lvlJc w:val="left"/>
      <w:lvlText w:val="%1."/>
      <w:numFmt w:val="upperLetter"/>
      <w:pPr>
        <w:pBdr/>
        <w:tabs>
          <w:tab w:val="num" w:leader="none" w:pos="720"/>
        </w:tabs>
        <w:spacing/>
        <w:ind w:hanging="360" w:left="720"/>
      </w:pPr>
      <w:rPr/>
      <w:start w:val="4"/>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50">
    <w:lvl w:ilvl="0">
      <w:isLgl w:val="false"/>
      <w:lvlJc w:val="left"/>
      <w:lvlText w:val="%1."/>
      <w:numFmt w:val="upperLetter"/>
      <w:pPr>
        <w:pBdr/>
        <w:tabs>
          <w:tab w:val="num" w:leader="none" w:pos="720"/>
        </w:tabs>
        <w:spacing/>
        <w:ind w:hanging="360" w:left="720"/>
      </w:pPr>
      <w:rPr/>
      <w:start w:val="2"/>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51">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
      <w:numFmt w:val="bullet"/>
      <w:pPr>
        <w:pBdr/>
        <w:tabs>
          <w:tab w:val="num" w:leader="none" w:pos="2160"/>
        </w:tabs>
        <w:spacing/>
        <w:ind w:hanging="360" w:left="2160"/>
      </w:pPr>
      <w:rPr>
        <w:rFonts w:hint="default" w:ascii="Wingdings" w:hAnsi="Wingdings"/>
        <w:sz w:val="20"/>
      </w:rPr>
      <w:start w:val="1"/>
      <w:suff w:val="tab"/>
    </w:lvl>
    <w:lvl w:ilvl="3">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4">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5">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6">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7">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8">
      <w:isLgl w:val="false"/>
      <w:lvlJc w:val="left"/>
      <w:lvlText w:val=""/>
      <w:numFmt w:val="bullet"/>
      <w:pPr>
        <w:pBdr/>
        <w:tabs>
          <w:tab w:val="num" w:leader="none" w:pos="6480"/>
        </w:tabs>
        <w:spacing/>
        <w:ind w:hanging="360" w:left="6480"/>
      </w:pPr>
      <w:rPr>
        <w:rFonts w:hint="default" w:ascii="Wingdings" w:hAnsi="Wingdings"/>
        <w:sz w:val="20"/>
      </w:rPr>
      <w:start w:val="1"/>
      <w:suff w:val="tab"/>
    </w:lvl>
  </w:abstractNum>
  <w:num w:numId="1">
    <w:abstractNumId w:val="47"/>
  </w:num>
  <w:num w:numId="2">
    <w:abstractNumId w:val="6"/>
    <w:lvlOverride w:ilvl="0">
      <w:lvl w:ilvl="0">
        <w:isLgl w:val="false"/>
        <w:lvlJc w:val="right"/>
        <w:lvlText w:val="%1."/>
        <w:numFmt w:val="upperRoman"/>
        <w:pPr>
          <w:pBdr/>
          <w:spacing/>
          <w:ind/>
        </w:pPr>
        <w:rPr/>
        <w:start w:val="0"/>
        <w:suff w:val="tab"/>
      </w:lvl>
    </w:lvlOverride>
  </w:num>
  <w:num w:numId="3">
    <w:abstractNumId w:val="16"/>
  </w:num>
  <w:num w:numId="4">
    <w:abstractNumId w:val="26"/>
  </w:num>
  <w:num w:numId="5">
    <w:abstractNumId w:val="1"/>
    <w:lvlOverride w:ilvl="0">
      <w:lvl w:ilvl="0">
        <w:isLgl w:val="false"/>
        <w:lvlJc w:val="left"/>
        <w:lvlText w:val="%1."/>
        <w:numFmt w:val="upperLetter"/>
        <w:pPr>
          <w:pBdr/>
          <w:spacing/>
          <w:ind/>
        </w:pPr>
        <w:rPr/>
        <w:start w:val="0"/>
        <w:suff w:val="tab"/>
      </w:lvl>
    </w:lvlOverride>
  </w:num>
  <w:num w:numId="6">
    <w:abstractNumId w:val="12"/>
  </w:num>
  <w:num w:numId="7">
    <w:abstractNumId w:val="0"/>
  </w:num>
  <w:num w:numId="8">
    <w:abstractNumId w:val="21"/>
  </w:num>
  <w:num w:numId="9">
    <w:abstractNumId w:val="29"/>
    <w:lvlOverride w:ilvl="0">
      <w:lvl w:ilvl="0">
        <w:isLgl w:val="false"/>
        <w:lvlJc w:val="left"/>
        <w:lvlText w:val="%1."/>
        <w:numFmt w:val="decimal"/>
        <w:pPr>
          <w:pBdr/>
          <w:spacing/>
          <w:ind/>
        </w:pPr>
        <w:rPr/>
        <w:start w:val="0"/>
        <w:suff w:val="tab"/>
      </w:lvl>
    </w:lvlOverride>
  </w:num>
  <w:num w:numId="10">
    <w:abstractNumId w:val="42"/>
  </w:num>
  <w:num w:numId="11">
    <w:abstractNumId w:val="2"/>
  </w:num>
  <w:num w:numId="12">
    <w:abstractNumId w:val="7"/>
  </w:num>
  <w:num w:numId="13">
    <w:abstractNumId w:val="41"/>
    <w:lvlOverride w:ilvl="0">
      <w:lvl w:ilvl="0">
        <w:isLgl w:val="false"/>
        <w:lvlJc w:val="left"/>
        <w:lvlText w:val="%1."/>
        <w:numFmt w:val="upperLetter"/>
        <w:pPr>
          <w:pBdr/>
          <w:spacing/>
          <w:ind/>
        </w:pPr>
        <w:rPr/>
        <w:start w:val="0"/>
        <w:suff w:val="tab"/>
      </w:lvl>
    </w:lvlOverride>
  </w:num>
  <w:num w:numId="14">
    <w:abstractNumId w:val="15"/>
  </w:num>
  <w:num w:numId="15">
    <w:abstractNumId w:val="19"/>
  </w:num>
  <w:num w:numId="16">
    <w:abstractNumId w:val="48"/>
  </w:num>
  <w:num w:numId="17">
    <w:abstractNumId w:val="49"/>
  </w:num>
  <w:num w:numId="18">
    <w:abstractNumId w:val="46"/>
  </w:num>
  <w:num w:numId="19">
    <w:abstractNumId w:val="8"/>
  </w:num>
  <w:num w:numId="20">
    <w:abstractNumId w:val="11"/>
  </w:num>
  <w:num w:numId="21">
    <w:abstractNumId w:val="38"/>
  </w:num>
  <w:num w:numId="22">
    <w:abstractNumId w:val="5"/>
  </w:num>
  <w:num w:numId="23">
    <w:abstractNumId w:val="28"/>
    <w:lvlOverride w:ilvl="0">
      <w:lvl w:ilvl="0">
        <w:isLgl w:val="false"/>
        <w:lvlJc w:val="left"/>
        <w:lvlText w:val="%1."/>
        <w:numFmt w:val="upperLetter"/>
        <w:pPr>
          <w:pBdr/>
          <w:spacing/>
          <w:ind/>
        </w:pPr>
        <w:rPr/>
        <w:start w:val="0"/>
        <w:suff w:val="tab"/>
      </w:lvl>
    </w:lvlOverride>
  </w:num>
  <w:num w:numId="24">
    <w:abstractNumId w:val="50"/>
  </w:num>
  <w:num w:numId="25">
    <w:abstractNumId w:val="14"/>
  </w:num>
  <w:num w:numId="26">
    <w:abstractNumId w:val="37"/>
  </w:num>
  <w:num w:numId="27">
    <w:abstractNumId w:val="30"/>
  </w:num>
  <w:num w:numId="28">
    <w:abstractNumId w:val="9"/>
    <w:lvlOverride w:ilvl="0">
      <w:lvl w:ilvl="0">
        <w:isLgl w:val="false"/>
        <w:lvlJc w:val="right"/>
        <w:lvlText w:val="%1."/>
        <w:numFmt w:val="upperRoman"/>
        <w:pPr>
          <w:pBdr/>
          <w:spacing/>
          <w:ind/>
        </w:pPr>
        <w:rPr/>
        <w:start w:val="0"/>
        <w:suff w:val="tab"/>
      </w:lvl>
    </w:lvlOverride>
  </w:num>
  <w:num w:numId="29">
    <w:abstractNumId w:val="43"/>
  </w:num>
  <w:num w:numId="30">
    <w:abstractNumId w:val="3"/>
  </w:num>
  <w:num w:numId="31">
    <w:abstractNumId w:val="17"/>
  </w:num>
  <w:num w:numId="32">
    <w:abstractNumId w:val="40"/>
  </w:num>
  <w:num w:numId="33">
    <w:abstractNumId w:val="20"/>
  </w:num>
  <w:num w:numId="34">
    <w:abstractNumId w:val="51"/>
  </w:num>
  <w:num w:numId="35">
    <w:abstractNumId w:val="27"/>
  </w:num>
  <w:num w:numId="36">
    <w:abstractNumId w:val="4"/>
  </w:num>
  <w:num w:numId="37">
    <w:abstractNumId w:val="31"/>
  </w:num>
  <w:num w:numId="38">
    <w:abstractNumId w:val="39"/>
  </w:num>
  <w:num w:numId="39">
    <w:abstractNumId w:val="44"/>
  </w:num>
  <w:num w:numId="40">
    <w:abstractNumId w:val="34"/>
  </w:num>
  <w:num w:numId="41">
    <w:abstractNumId w:val="10"/>
  </w:num>
  <w:num w:numId="42">
    <w:abstractNumId w:val="25"/>
  </w:num>
  <w:num w:numId="43">
    <w:abstractNumId w:val="18"/>
  </w:num>
  <w:num w:numId="44">
    <w:abstractNumId w:val="36"/>
    <w:lvlOverride w:ilvl="0">
      <w:lvl w:ilvl="0">
        <w:isLgl w:val="false"/>
        <w:lvlJc w:val="left"/>
        <w:lvlText w:val="%1."/>
        <w:numFmt w:val="decimal"/>
        <w:pPr>
          <w:pBdr/>
          <w:spacing/>
          <w:ind/>
        </w:pPr>
        <w:rPr/>
        <w:start w:val="0"/>
        <w:suff w:val="tab"/>
      </w:lvl>
    </w:lvlOverride>
  </w:num>
  <w:num w:numId="45">
    <w:abstractNumId w:val="22"/>
  </w:num>
  <w:num w:numId="46">
    <w:abstractNumId w:val="13"/>
    <w:lvlOverride w:ilvl="0">
      <w:lvl w:ilvl="0">
        <w:isLgl w:val="false"/>
        <w:lvlJc w:val="left"/>
        <w:lvlText w:val="%1."/>
        <w:numFmt w:val="decimal"/>
        <w:pPr>
          <w:pBdr/>
          <w:spacing/>
          <w:ind/>
        </w:pPr>
        <w:rPr/>
        <w:start w:val="0"/>
        <w:suff w:val="tab"/>
      </w:lvl>
    </w:lvlOverride>
  </w:num>
  <w:num w:numId="47">
    <w:abstractNumId w:val="45"/>
  </w:num>
  <w:num w:numId="48">
    <w:abstractNumId w:val="24"/>
    <w:lvlOverride w:ilvl="0">
      <w:lvl w:ilvl="0">
        <w:isLgl w:val="false"/>
        <w:lvlJc w:val="left"/>
        <w:lvlText w:val="%1."/>
        <w:numFmt w:val="decimal"/>
        <w:pPr>
          <w:pBdr/>
          <w:spacing/>
          <w:ind/>
        </w:pPr>
        <w:rPr/>
        <w:start w:val="0"/>
        <w:suff w:val="tab"/>
      </w:lvl>
    </w:lvlOverride>
  </w:num>
  <w:num w:numId="49">
    <w:abstractNumId w:val="23"/>
  </w:num>
  <w:num w:numId="50">
    <w:abstractNumId w:val="35"/>
    <w:lvlOverride w:ilvl="0">
      <w:lvl w:ilvl="0">
        <w:isLgl w:val="false"/>
        <w:lvlJc w:val="left"/>
        <w:lvlText w:val="%1."/>
        <w:numFmt w:val="decimal"/>
        <w:pPr>
          <w:pBdr/>
          <w:spacing/>
          <w:ind/>
        </w:pPr>
        <w:rPr/>
        <w:start w:val="0"/>
        <w:suff w:val="tab"/>
      </w:lvl>
    </w:lvlOverride>
  </w:num>
  <w:num w:numId="51">
    <w:abstractNumId w:val="33"/>
  </w:num>
  <w:num w:numId="5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en-PH" w:eastAsia="en-US" w:bidi="ar-SA"/>
        <w14:ligatures w14:val="standardContextual"/>
      </w:rPr>
    </w:rPrDefault>
    <w:pPrDefault>
      <w:pPr>
        <w:pBdr/>
        <w:spacing w:after="0" w:afterAutospacing="0" w:before="0" w:beforeAutospacing="0" w:line="288"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1">
    <w:name w:val="Table Grid"/>
    <w:basedOn w:val="738"/>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
    <w:name w:val="Table Grid Light"/>
    <w:basedOn w:val="738"/>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
    <w:name w:val="Plain Table 1"/>
    <w:basedOn w:val="738"/>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
    <w:name w:val="Plain Table 2"/>
    <w:basedOn w:val="738"/>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
    <w:name w:val="Plain Table 3"/>
    <w:basedOn w:val="738"/>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
    <w:name w:val="Plain Table 4"/>
    <w:basedOn w:val="738"/>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
    <w:name w:val="Plain Table 5"/>
    <w:basedOn w:val="738"/>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
    <w:name w:val="Grid Table 1 Light"/>
    <w:basedOn w:val="738"/>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 Accent 1"/>
    <w:basedOn w:val="738"/>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2"/>
    <w:basedOn w:val="738"/>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3"/>
    <w:basedOn w:val="738"/>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4"/>
    <w:basedOn w:val="738"/>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5"/>
    <w:basedOn w:val="738"/>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6"/>
    <w:basedOn w:val="738"/>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2"/>
    <w:basedOn w:val="738"/>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 Accent 1"/>
    <w:basedOn w:val="738"/>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2"/>
    <w:basedOn w:val="738"/>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3"/>
    <w:basedOn w:val="738"/>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4"/>
    <w:basedOn w:val="738"/>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5"/>
    <w:basedOn w:val="738"/>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6"/>
    <w:basedOn w:val="738"/>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3"/>
    <w:basedOn w:val="738"/>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 Accent 1"/>
    <w:basedOn w:val="738"/>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2"/>
    <w:basedOn w:val="738"/>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3"/>
    <w:basedOn w:val="738"/>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4"/>
    <w:basedOn w:val="738"/>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5"/>
    <w:basedOn w:val="738"/>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6"/>
    <w:basedOn w:val="738"/>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4"/>
    <w:basedOn w:val="738"/>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 Accent 1"/>
    <w:basedOn w:val="738"/>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ec9"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2"/>
    <w:basedOn w:val="738"/>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3"/>
    <w:basedOn w:val="738"/>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4"/>
    <w:basedOn w:val="738"/>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5"/>
    <w:basedOn w:val="738"/>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6"/>
    <w:basedOn w:val="738"/>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5 Dark"/>
    <w:basedOn w:val="73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7">
    <w:name w:val="Grid Table 5 Dark- Accent 1"/>
    <w:basedOn w:val="73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3" w:themeFill="accent1" w:themeFillTint="34"/>
    </w:tblPr>
    <w:tcPr>
      <w:tcBorders/>
    </w:tcPr>
    <w:tblStylePr w:type="band1Horz">
      <w:pPr>
        <w:pBdr/>
        <w:spacing/>
        <w:ind/>
      </w:pPr>
      <w:tblPr>
        <w:tblBorders/>
      </w:tblPr>
      <w:tcPr>
        <w:shd w:val="clear" w:color="ffffff" w:themeColor="accent1" w:themeTint="75" w:fill="a9bee4" w:themeFill="accent1" w:themeFillTint="75"/>
        <w:tcBorders/>
      </w:tcPr>
    </w:tblStylePr>
    <w:tblStylePr w:type="band1Vert">
      <w:pPr>
        <w:pBdr/>
        <w:spacing/>
        <w:ind/>
      </w:pPr>
      <w:tblPr>
        <w:tblBorders/>
      </w:tblPr>
      <w:tcPr>
        <w:shd w:val="clear" w:color="ffffff"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472c4" w:themeFill="accent1"/>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rFonts w:ascii="Arial" w:hAnsi="Arial"/>
        <w:b/>
        <w:color w:val="ffffff"/>
        <w:sz w:val="22"/>
      </w:rPr>
      <w:pPr>
        <w:pBdr/>
        <w:spacing/>
        <w:ind/>
      </w:pPr>
      <w:tblPr>
        <w:tblBorders/>
      </w:tblPr>
      <w:tcPr>
        <w:shd w:val="clear" w:color="ffffff" w:themeColor="accent1" w:fill="4472c4" w:themeFill="accent1"/>
        <w:tcBorders/>
      </w:tcPr>
    </w:tblStylePr>
    <w:tblStylePr w:type="lastRow">
      <w:rPr>
        <w:rFonts w:ascii="Arial" w:hAnsi="Arial"/>
        <w:b/>
        <w:color w:val="ffffff"/>
        <w:sz w:val="22"/>
      </w:rPr>
      <w:pPr>
        <w:pBdr/>
        <w:spacing/>
        <w:ind/>
      </w:pPr>
      <w:tblPr>
        <w:tblBorders/>
      </w:tblPr>
      <w:tcPr>
        <w:shd w:val="clear" w:color="ffffff" w:themeColor="accent1"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 Accent 2"/>
    <w:basedOn w:val="73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3"/>
    <w:basedOn w:val="73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Accent 4"/>
    <w:basedOn w:val="73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 Accent 5"/>
    <w:basedOn w:val="73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eebf6" w:themeFill="accent5" w:themeFillTint="34"/>
    </w:tblPr>
    <w:tcPr>
      <w:tcBorders/>
    </w:tcPr>
    <w:tblStylePr w:type="band1Horz">
      <w:pPr>
        <w:pBdr/>
        <w:spacing/>
        <w:ind/>
      </w:pPr>
      <w:tblPr>
        <w:tblBorders/>
      </w:tblPr>
      <w:tcPr>
        <w:shd w:val="clear" w:color="ffffff" w:themeColor="accent5" w:themeTint="75" w:fill="b4d1ec" w:themeFill="accent5" w:themeFillTint="75"/>
        <w:tcBorders/>
      </w:tcPr>
    </w:tblStylePr>
    <w:tblStylePr w:type="band1Vert">
      <w:pPr>
        <w:pBdr/>
        <w:spacing/>
        <w:ind/>
      </w:pPr>
      <w:tblPr>
        <w:tblBorders/>
      </w:tblPr>
      <w:tcPr>
        <w:shd w:val="clear" w:color="ffffff" w:themeColor="accent5" w:themeTint="75"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6"/>
    <w:basedOn w:val="73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6 Colorful"/>
    <w:basedOn w:val="738"/>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54">
    <w:name w:val="Grid Table 6 Colorful - Accent 1"/>
    <w:basedOn w:val="738"/>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760ab" w:themeColor="accent1" w:themeTint="80" w:themeShade="95"/>
      </w:rPr>
      <w:pPr>
        <w:pBdr/>
        <w:spacing/>
        <w:ind/>
      </w:pPr>
      <w:tblPr>
        <w:tblBorders/>
      </w:tblPr>
      <w:tcPr>
        <w:tcBorders/>
      </w:tcPr>
    </w:tblStylePr>
    <w:tblStylePr w:type="firstRow">
      <w:rPr>
        <w:b/>
        <w:color w:val="3760ab" w:themeColor="accent1" w:themeTint="80" w:themeShade="95"/>
      </w:rPr>
      <w:pPr>
        <w:pBdr/>
        <w:spacing/>
        <w:ind/>
      </w:pPr>
      <w:tblPr>
        <w:tblBorders/>
      </w:tblPr>
      <w:tcPr>
        <w:tcBorders>
          <w:bottom w:val="single" w:color="000000" w:themeColor="accent1" w:themeTint="80" w:sz="12" w:space="0"/>
        </w:tcBorders>
      </w:tcPr>
    </w:tblStylePr>
    <w:tblStylePr w:type="lastCol">
      <w:rPr>
        <w:b/>
        <w:color w:val="3760ab" w:themeColor="accent1" w:themeTint="80" w:themeShade="95"/>
      </w:rPr>
      <w:pPr>
        <w:pBdr/>
        <w:spacing/>
        <w:ind/>
      </w:pPr>
      <w:tblPr>
        <w:tblBorders/>
      </w:tblPr>
      <w:tcPr>
        <w:tcBorders/>
      </w:tcPr>
    </w:tblStylePr>
    <w:tblStylePr w:type="lastRow">
      <w:rPr>
        <w:b/>
        <w:color w:val="3760ab"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5">
    <w:name w:val="Grid Table 6 Colorful - Accent 2"/>
    <w:basedOn w:val="738"/>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6">
    <w:name w:val="Grid Table 6 Colorful - Accent 3"/>
    <w:basedOn w:val="738"/>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7">
    <w:name w:val="Grid Table 6 Colorful - Accent 4"/>
    <w:basedOn w:val="738"/>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8">
    <w:name w:val="Grid Table 6 Colorful - Accent 5"/>
    <w:basedOn w:val="738"/>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59">
    <w:name w:val="Grid Table 6 Colorful - Accent 6"/>
    <w:basedOn w:val="738"/>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7 Colorful"/>
    <w:basedOn w:val="738"/>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1">
    <w:name w:val="Grid Table 7 Colorful - Accent 1"/>
    <w:basedOn w:val="738"/>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760ab"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3760ab"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760ab"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760ab"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760ab"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760ab"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2"/>
    <w:basedOn w:val="738"/>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3"/>
    <w:basedOn w:val="738"/>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4"/>
    <w:basedOn w:val="738"/>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5"/>
    <w:basedOn w:val="738"/>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45b8d"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45b8d"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45b8d"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45b8d"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6"/>
    <w:basedOn w:val="738"/>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List Table 1 Light"/>
    <w:basedOn w:val="73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 Accent 1"/>
    <w:basedOn w:val="73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2"/>
    <w:basedOn w:val="73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3"/>
    <w:basedOn w:val="73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4"/>
    <w:basedOn w:val="73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5"/>
    <w:basedOn w:val="73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6"/>
    <w:basedOn w:val="73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2"/>
    <w:basedOn w:val="738"/>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 Accent 1"/>
    <w:basedOn w:val="738"/>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2"/>
    <w:basedOn w:val="738"/>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3"/>
    <w:basedOn w:val="738"/>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4"/>
    <w:basedOn w:val="738"/>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5"/>
    <w:basedOn w:val="738"/>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6"/>
    <w:basedOn w:val="738"/>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3"/>
    <w:basedOn w:val="738"/>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 Accent 1"/>
    <w:basedOn w:val="738"/>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2"/>
    <w:basedOn w:val="738"/>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3"/>
    <w:basedOn w:val="738"/>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4"/>
    <w:basedOn w:val="738"/>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5"/>
    <w:basedOn w:val="738"/>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3e6"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6"/>
    <w:basedOn w:val="738"/>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4"/>
    <w:basedOn w:val="738"/>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 Accent 1"/>
    <w:basedOn w:val="738"/>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2"/>
    <w:basedOn w:val="738"/>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3"/>
    <w:basedOn w:val="738"/>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4"/>
    <w:basedOn w:val="738"/>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5"/>
    <w:basedOn w:val="738"/>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6"/>
    <w:basedOn w:val="738"/>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5 Dark"/>
    <w:basedOn w:val="738"/>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6">
    <w:name w:val="List Table 5 Dark - Accent 1"/>
    <w:basedOn w:val="738"/>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2"/>
    <w:basedOn w:val="738"/>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3"/>
    <w:basedOn w:val="738"/>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4"/>
    <w:basedOn w:val="738"/>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5"/>
    <w:basedOn w:val="738"/>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3e6" w:themeFill="accent5" w:themeFillTint="9A"/>
    </w:tblPr>
    <w:tcPr>
      <w:tcBorders/>
    </w:tcPr>
    <w:tblStylePr w:type="band1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3e6"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6"/>
    <w:basedOn w:val="738"/>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6 Colorful"/>
    <w:basedOn w:val="738"/>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
    <w:name w:val="List Table 6 Colorful - Accent 1"/>
    <w:basedOn w:val="738"/>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2"/>
    <w:basedOn w:val="738"/>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3"/>
    <w:basedOn w:val="738"/>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4"/>
    <w:basedOn w:val="738"/>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5"/>
    <w:basedOn w:val="738"/>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d74b4" w:themeColor="accent5" w:themeTint="9A" w:themeShade="95"/>
      </w:rPr>
      <w:pPr>
        <w:pBdr/>
        <w:spacing/>
        <w:ind/>
      </w:pPr>
      <w:tblPr>
        <w:tblBorders/>
      </w:tblPr>
      <w:tcPr>
        <w:tcBorders/>
      </w:tcPr>
    </w:tblStylePr>
    <w:tblStylePr w:type="firstRow">
      <w:rPr>
        <w:b/>
        <w:color w:val="2d74b4" w:themeColor="accent5" w:themeTint="9A" w:themeShade="95"/>
      </w:rPr>
      <w:pPr>
        <w:pBdr/>
        <w:spacing/>
        <w:ind/>
      </w:pPr>
      <w:tblPr>
        <w:tblBorders/>
      </w:tblPr>
      <w:tcPr>
        <w:tcBorders>
          <w:bottom w:val="single" w:color="000000" w:themeColor="accent5" w:themeTint="9A" w:sz="4" w:space="0"/>
        </w:tcBorders>
      </w:tcPr>
    </w:tblStylePr>
    <w:tblStylePr w:type="lastCol">
      <w:rPr>
        <w:b/>
        <w:color w:val="2d74b4" w:themeColor="accent5" w:themeTint="9A" w:themeShade="95"/>
      </w:rPr>
      <w:pPr>
        <w:pBdr/>
        <w:spacing/>
        <w:ind/>
      </w:pPr>
      <w:tblPr>
        <w:tblBorders/>
      </w:tblPr>
      <w:tcPr>
        <w:tcBorders/>
      </w:tcPr>
    </w:tblStylePr>
    <w:tblStylePr w:type="lastRow">
      <w:rPr>
        <w:b/>
        <w:color w:val="2d74b4"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6"/>
    <w:basedOn w:val="738"/>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7 Colorful"/>
    <w:basedOn w:val="738"/>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0">
    <w:name w:val="List Table 7 Colorful - Accent 1"/>
    <w:basedOn w:val="738"/>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54275"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54275"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54275"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54275"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54275" w:themeColor="accent1" w:themeShade="95"/>
        <w:sz w:val="22"/>
      </w:rPr>
      <w:pPr>
        <w:pBdr/>
        <w:spacing/>
        <w:ind/>
      </w:pPr>
      <w:tblPr>
        <w:tblBorders/>
      </w:tblPr>
      <w:tcPr>
        <w:tcBorders/>
      </w:tcPr>
    </w:tblStylePr>
  </w:style>
  <w:style w:type="table" w:styleId="111">
    <w:name w:val="List Table 7 Colorful - Accent 2"/>
    <w:basedOn w:val="738"/>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112">
    <w:name w:val="List Table 7 Colorful - Accent 3"/>
    <w:basedOn w:val="738"/>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113">
    <w:name w:val="List Table 7 Colorful - Accent 4"/>
    <w:basedOn w:val="738"/>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4">
    <w:name w:val="List Table 7 Colorful - Accent 5"/>
    <w:basedOn w:val="738"/>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d74b4"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2d74b4"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d74b4"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2d74b4"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2d74b4"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2d74b4"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d74b4" w:themeColor="accent5" w:themeTint="9A" w:themeShade="95"/>
        <w:sz w:val="22"/>
      </w:rPr>
      <w:pPr>
        <w:pBdr/>
        <w:spacing/>
        <w:ind/>
      </w:pPr>
      <w:tblPr>
        <w:tblBorders/>
      </w:tblPr>
      <w:tcPr>
        <w:tcBorders/>
      </w:tcPr>
    </w:tblStylePr>
  </w:style>
  <w:style w:type="table" w:styleId="115">
    <w:name w:val="List Table 7 Colorful - Accent 6"/>
    <w:basedOn w:val="738"/>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116">
    <w:name w:val="Lined - Accent"/>
    <w:basedOn w:val="73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
    <w:name w:val="Lined - Accent 1"/>
    <w:basedOn w:val="73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ned - Accent 2"/>
    <w:basedOn w:val="73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ned - Accent 3"/>
    <w:basedOn w:val="73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ned - Accent 4"/>
    <w:basedOn w:val="73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ned - Accent 5"/>
    <w:basedOn w:val="73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ned - Accent 6"/>
    <w:basedOn w:val="73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Bordered &amp; Lined - Accent"/>
    <w:basedOn w:val="738"/>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Bordered &amp; Lined - Accent 1"/>
    <w:basedOn w:val="738"/>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Bordered &amp; Lined - Accent 2"/>
    <w:basedOn w:val="738"/>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Bordered &amp; Lined - Accent 3"/>
    <w:basedOn w:val="738"/>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Bordered &amp; Lined - Accent 4"/>
    <w:basedOn w:val="738"/>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Bordered &amp; Lined - Accent 5"/>
    <w:basedOn w:val="738"/>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Bordered &amp; Lined - Accent 6"/>
    <w:basedOn w:val="738"/>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Bordered"/>
    <w:basedOn w:val="738"/>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Bordered - Accent 1"/>
    <w:basedOn w:val="738"/>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Bordered - Accent 2"/>
    <w:basedOn w:val="738"/>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
    <w:name w:val="Bordered - Accent 3"/>
    <w:basedOn w:val="738"/>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
    <w:name w:val="Bordered - Accent 4"/>
    <w:basedOn w:val="738"/>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
    <w:name w:val="Bordered - Accent 5"/>
    <w:basedOn w:val="738"/>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
    <w:name w:val="Bordered - Accent 6"/>
    <w:basedOn w:val="738"/>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41">
    <w:name w:val="Heading 4"/>
    <w:basedOn w:val="733"/>
    <w:next w:val="733"/>
    <w:link w:val="152"/>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142">
    <w:name w:val="Heading 5"/>
    <w:basedOn w:val="733"/>
    <w:next w:val="733"/>
    <w:link w:val="153"/>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143">
    <w:name w:val="Heading 6"/>
    <w:basedOn w:val="733"/>
    <w:next w:val="733"/>
    <w:link w:val="154"/>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144">
    <w:name w:val="Heading 7"/>
    <w:basedOn w:val="733"/>
    <w:next w:val="733"/>
    <w:link w:val="155"/>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145">
    <w:name w:val="Heading 8"/>
    <w:basedOn w:val="733"/>
    <w:next w:val="733"/>
    <w:link w:val="156"/>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146">
    <w:name w:val="Heading 9"/>
    <w:basedOn w:val="733"/>
    <w:next w:val="733"/>
    <w:link w:val="157"/>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52">
    <w:name w:val="Heading 4 Char"/>
    <w:basedOn w:val="737"/>
    <w:link w:val="141"/>
    <w:uiPriority w:val="9"/>
    <w:pPr>
      <w:pBdr/>
      <w:spacing/>
      <w:ind/>
    </w:pPr>
    <w:rPr>
      <w:rFonts w:ascii="Arial" w:hAnsi="Arial" w:eastAsia="Arial" w:cs="Arial"/>
      <w:i/>
      <w:iCs/>
      <w:color w:val="0f4761" w:themeColor="accent1" w:themeShade="BF"/>
    </w:rPr>
  </w:style>
  <w:style w:type="character" w:styleId="153">
    <w:name w:val="Heading 5 Char"/>
    <w:basedOn w:val="737"/>
    <w:link w:val="142"/>
    <w:uiPriority w:val="9"/>
    <w:pPr>
      <w:pBdr/>
      <w:spacing/>
      <w:ind/>
    </w:pPr>
    <w:rPr>
      <w:rFonts w:ascii="Arial" w:hAnsi="Arial" w:eastAsia="Arial" w:cs="Arial"/>
      <w:color w:val="0f4761" w:themeColor="accent1" w:themeShade="BF"/>
    </w:rPr>
  </w:style>
  <w:style w:type="character" w:styleId="154">
    <w:name w:val="Heading 6 Char"/>
    <w:basedOn w:val="737"/>
    <w:link w:val="143"/>
    <w:uiPriority w:val="9"/>
    <w:pPr>
      <w:pBdr/>
      <w:spacing/>
      <w:ind/>
    </w:pPr>
    <w:rPr>
      <w:rFonts w:ascii="Arial" w:hAnsi="Arial" w:eastAsia="Arial" w:cs="Arial"/>
      <w:i/>
      <w:iCs/>
      <w:color w:val="595959" w:themeColor="text1" w:themeTint="A6"/>
    </w:rPr>
  </w:style>
  <w:style w:type="character" w:styleId="155">
    <w:name w:val="Heading 7 Char"/>
    <w:basedOn w:val="737"/>
    <w:link w:val="144"/>
    <w:uiPriority w:val="9"/>
    <w:pPr>
      <w:pBdr/>
      <w:spacing/>
      <w:ind/>
    </w:pPr>
    <w:rPr>
      <w:rFonts w:ascii="Arial" w:hAnsi="Arial" w:eastAsia="Arial" w:cs="Arial"/>
      <w:color w:val="595959" w:themeColor="text1" w:themeTint="A6"/>
    </w:rPr>
  </w:style>
  <w:style w:type="character" w:styleId="156">
    <w:name w:val="Heading 8 Char"/>
    <w:basedOn w:val="737"/>
    <w:link w:val="145"/>
    <w:uiPriority w:val="9"/>
    <w:pPr>
      <w:pBdr/>
      <w:spacing/>
      <w:ind/>
    </w:pPr>
    <w:rPr>
      <w:rFonts w:ascii="Arial" w:hAnsi="Arial" w:eastAsia="Arial" w:cs="Arial"/>
      <w:i/>
      <w:iCs/>
      <w:color w:val="272727" w:themeColor="text1" w:themeTint="D8"/>
    </w:rPr>
  </w:style>
  <w:style w:type="character" w:styleId="157">
    <w:name w:val="Heading 9 Char"/>
    <w:basedOn w:val="737"/>
    <w:link w:val="146"/>
    <w:uiPriority w:val="9"/>
    <w:pPr>
      <w:pBdr/>
      <w:spacing/>
      <w:ind/>
    </w:pPr>
    <w:rPr>
      <w:rFonts w:ascii="Arial" w:hAnsi="Arial" w:eastAsia="Arial" w:cs="Arial"/>
      <w:i/>
      <w:iCs/>
      <w:color w:val="272727" w:themeColor="text1" w:themeTint="D8"/>
    </w:rPr>
  </w:style>
  <w:style w:type="paragraph" w:styleId="158">
    <w:name w:val="Title"/>
    <w:basedOn w:val="733"/>
    <w:next w:val="733"/>
    <w:link w:val="159"/>
    <w:uiPriority w:val="10"/>
    <w:qFormat/>
    <w:pPr>
      <w:pBdr/>
      <w:spacing w:after="80" w:line="240" w:lineRule="auto"/>
      <w:ind/>
      <w:contextualSpacing w:val="true"/>
    </w:pPr>
    <w:rPr>
      <w:rFonts w:ascii="Arial" w:hAnsi="Arial" w:eastAsia="Arial" w:cs="Arial"/>
      <w:spacing w:val="-10"/>
      <w:sz w:val="56"/>
      <w:szCs w:val="56"/>
    </w:rPr>
  </w:style>
  <w:style w:type="character" w:styleId="159">
    <w:name w:val="Title Char"/>
    <w:basedOn w:val="737"/>
    <w:link w:val="158"/>
    <w:uiPriority w:val="10"/>
    <w:pPr>
      <w:pBdr/>
      <w:spacing/>
      <w:ind/>
    </w:pPr>
    <w:rPr>
      <w:rFonts w:ascii="Arial" w:hAnsi="Arial" w:eastAsia="Arial" w:cs="Arial"/>
      <w:spacing w:val="-10"/>
      <w:sz w:val="56"/>
      <w:szCs w:val="56"/>
    </w:rPr>
  </w:style>
  <w:style w:type="paragraph" w:styleId="160">
    <w:name w:val="Subtitle"/>
    <w:basedOn w:val="733"/>
    <w:next w:val="733"/>
    <w:link w:val="161"/>
    <w:uiPriority w:val="11"/>
    <w:qFormat/>
    <w:pPr>
      <w:numPr>
        <w:ilvl w:val="1"/>
      </w:numPr>
      <w:pBdr/>
      <w:spacing/>
      <w:ind/>
    </w:pPr>
    <w:rPr>
      <w:color w:val="595959" w:themeColor="text1" w:themeTint="A6"/>
      <w:spacing w:val="15"/>
      <w:sz w:val="28"/>
      <w:szCs w:val="28"/>
    </w:rPr>
  </w:style>
  <w:style w:type="character" w:styleId="161">
    <w:name w:val="Subtitle Char"/>
    <w:basedOn w:val="737"/>
    <w:link w:val="160"/>
    <w:uiPriority w:val="11"/>
    <w:pPr>
      <w:pBdr/>
      <w:spacing/>
      <w:ind/>
    </w:pPr>
    <w:rPr>
      <w:color w:val="595959" w:themeColor="text1" w:themeTint="A6"/>
      <w:spacing w:val="15"/>
      <w:sz w:val="28"/>
      <w:szCs w:val="28"/>
    </w:rPr>
  </w:style>
  <w:style w:type="paragraph" w:styleId="162">
    <w:name w:val="Quote"/>
    <w:basedOn w:val="733"/>
    <w:next w:val="733"/>
    <w:link w:val="163"/>
    <w:uiPriority w:val="29"/>
    <w:qFormat/>
    <w:pPr>
      <w:pBdr/>
      <w:spacing w:before="160"/>
      <w:ind/>
      <w:jc w:val="center"/>
    </w:pPr>
    <w:rPr>
      <w:i/>
      <w:iCs/>
      <w:color w:val="404040" w:themeColor="text1" w:themeTint="BF"/>
    </w:rPr>
  </w:style>
  <w:style w:type="character" w:styleId="163">
    <w:name w:val="Quote Char"/>
    <w:basedOn w:val="737"/>
    <w:link w:val="162"/>
    <w:uiPriority w:val="29"/>
    <w:pPr>
      <w:pBdr/>
      <w:spacing/>
      <w:ind/>
    </w:pPr>
    <w:rPr>
      <w:i/>
      <w:iCs/>
      <w:color w:val="404040" w:themeColor="text1" w:themeTint="BF"/>
    </w:rPr>
  </w:style>
  <w:style w:type="character" w:styleId="165">
    <w:name w:val="Intense Emphasis"/>
    <w:basedOn w:val="737"/>
    <w:uiPriority w:val="21"/>
    <w:qFormat/>
    <w:pPr>
      <w:pBdr/>
      <w:spacing/>
      <w:ind/>
    </w:pPr>
    <w:rPr>
      <w:i/>
      <w:iCs/>
      <w:color w:val="0f4761" w:themeColor="accent1" w:themeShade="BF"/>
    </w:rPr>
  </w:style>
  <w:style w:type="paragraph" w:styleId="166">
    <w:name w:val="Intense Quote"/>
    <w:basedOn w:val="733"/>
    <w:next w:val="733"/>
    <w:link w:val="167"/>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67">
    <w:name w:val="Intense Quote Char"/>
    <w:basedOn w:val="737"/>
    <w:link w:val="166"/>
    <w:uiPriority w:val="30"/>
    <w:pPr>
      <w:pBdr/>
      <w:spacing/>
      <w:ind/>
    </w:pPr>
    <w:rPr>
      <w:i/>
      <w:iCs/>
      <w:color w:val="0f4761" w:themeColor="accent1" w:themeShade="BF"/>
    </w:rPr>
  </w:style>
  <w:style w:type="character" w:styleId="168">
    <w:name w:val="Intense Reference"/>
    <w:basedOn w:val="737"/>
    <w:uiPriority w:val="32"/>
    <w:qFormat/>
    <w:pPr>
      <w:pBdr/>
      <w:spacing/>
      <w:ind/>
    </w:pPr>
    <w:rPr>
      <w:b/>
      <w:bCs/>
      <w:smallCaps/>
      <w:color w:val="0f4761" w:themeColor="accent1" w:themeShade="BF"/>
      <w:spacing w:val="5"/>
    </w:rPr>
  </w:style>
  <w:style w:type="paragraph" w:styleId="169">
    <w:name w:val="No Spacing"/>
    <w:basedOn w:val="733"/>
    <w:uiPriority w:val="1"/>
    <w:qFormat/>
    <w:pPr>
      <w:pBdr/>
      <w:spacing w:after="0" w:line="240" w:lineRule="auto"/>
      <w:ind/>
    </w:pPr>
  </w:style>
  <w:style w:type="character" w:styleId="170">
    <w:name w:val="Subtle Emphasis"/>
    <w:basedOn w:val="737"/>
    <w:uiPriority w:val="19"/>
    <w:qFormat/>
    <w:pPr>
      <w:pBdr/>
      <w:spacing/>
      <w:ind/>
    </w:pPr>
    <w:rPr>
      <w:i/>
      <w:iCs/>
      <w:color w:val="404040" w:themeColor="text1" w:themeTint="BF"/>
    </w:rPr>
  </w:style>
  <w:style w:type="character" w:styleId="171">
    <w:name w:val="Emphasis"/>
    <w:basedOn w:val="737"/>
    <w:uiPriority w:val="20"/>
    <w:qFormat/>
    <w:pPr>
      <w:pBdr/>
      <w:spacing/>
      <w:ind/>
    </w:pPr>
    <w:rPr>
      <w:i/>
      <w:iCs/>
    </w:rPr>
  </w:style>
  <w:style w:type="character" w:styleId="172">
    <w:name w:val="Strong"/>
    <w:basedOn w:val="737"/>
    <w:uiPriority w:val="22"/>
    <w:qFormat/>
    <w:pPr>
      <w:pBdr/>
      <w:spacing/>
      <w:ind/>
    </w:pPr>
    <w:rPr>
      <w:b/>
      <w:bCs/>
    </w:rPr>
  </w:style>
  <w:style w:type="character" w:styleId="173">
    <w:name w:val="Subtle Reference"/>
    <w:basedOn w:val="737"/>
    <w:uiPriority w:val="31"/>
    <w:qFormat/>
    <w:pPr>
      <w:pBdr/>
      <w:spacing/>
      <w:ind/>
    </w:pPr>
    <w:rPr>
      <w:smallCaps/>
      <w:color w:val="5a5a5a" w:themeColor="text1" w:themeTint="A5"/>
    </w:rPr>
  </w:style>
  <w:style w:type="character" w:styleId="174">
    <w:name w:val="Book Title"/>
    <w:basedOn w:val="737"/>
    <w:uiPriority w:val="33"/>
    <w:qFormat/>
    <w:pPr>
      <w:pBdr/>
      <w:spacing/>
      <w:ind/>
    </w:pPr>
    <w:rPr>
      <w:b/>
      <w:bCs/>
      <w:i/>
      <w:iCs/>
      <w:spacing w:val="5"/>
    </w:rPr>
  </w:style>
  <w:style w:type="paragraph" w:styleId="175">
    <w:name w:val="Header"/>
    <w:basedOn w:val="733"/>
    <w:link w:val="176"/>
    <w:uiPriority w:val="99"/>
    <w:unhideWhenUsed/>
    <w:pPr>
      <w:pBdr/>
      <w:tabs>
        <w:tab w:val="center" w:leader="none" w:pos="4844"/>
        <w:tab w:val="right" w:leader="none" w:pos="9689"/>
      </w:tabs>
      <w:spacing w:after="0" w:line="240" w:lineRule="auto"/>
      <w:ind/>
    </w:pPr>
  </w:style>
  <w:style w:type="character" w:styleId="176">
    <w:name w:val="Header Char"/>
    <w:basedOn w:val="737"/>
    <w:link w:val="175"/>
    <w:uiPriority w:val="99"/>
    <w:pPr>
      <w:pBdr/>
      <w:spacing/>
      <w:ind/>
    </w:pPr>
  </w:style>
  <w:style w:type="paragraph" w:styleId="177">
    <w:name w:val="Footer"/>
    <w:basedOn w:val="733"/>
    <w:link w:val="178"/>
    <w:uiPriority w:val="99"/>
    <w:unhideWhenUsed/>
    <w:pPr>
      <w:pBdr/>
      <w:tabs>
        <w:tab w:val="center" w:leader="none" w:pos="4844"/>
        <w:tab w:val="right" w:leader="none" w:pos="9689"/>
      </w:tabs>
      <w:spacing w:after="0" w:line="240" w:lineRule="auto"/>
      <w:ind/>
    </w:pPr>
  </w:style>
  <w:style w:type="character" w:styleId="178">
    <w:name w:val="Footer Char"/>
    <w:basedOn w:val="737"/>
    <w:link w:val="177"/>
    <w:uiPriority w:val="99"/>
    <w:pPr>
      <w:pBdr/>
      <w:spacing/>
      <w:ind/>
    </w:pPr>
  </w:style>
  <w:style w:type="paragraph" w:styleId="179">
    <w:name w:val="Caption"/>
    <w:basedOn w:val="733"/>
    <w:next w:val="733"/>
    <w:uiPriority w:val="35"/>
    <w:unhideWhenUsed/>
    <w:qFormat/>
    <w:pPr>
      <w:pBdr/>
      <w:spacing w:after="200" w:line="240" w:lineRule="auto"/>
      <w:ind/>
    </w:pPr>
    <w:rPr>
      <w:i/>
      <w:iCs/>
      <w:color w:val="0e2841" w:themeColor="text2"/>
      <w:sz w:val="18"/>
      <w:szCs w:val="18"/>
    </w:rPr>
  </w:style>
  <w:style w:type="paragraph" w:styleId="180">
    <w:name w:val="footnote text"/>
    <w:basedOn w:val="733"/>
    <w:link w:val="181"/>
    <w:uiPriority w:val="99"/>
    <w:semiHidden/>
    <w:unhideWhenUsed/>
    <w:pPr>
      <w:pBdr/>
      <w:spacing w:after="0" w:line="240" w:lineRule="auto"/>
      <w:ind/>
    </w:pPr>
    <w:rPr>
      <w:sz w:val="20"/>
      <w:szCs w:val="20"/>
    </w:rPr>
  </w:style>
  <w:style w:type="character" w:styleId="181">
    <w:name w:val="Footnote Text Char"/>
    <w:basedOn w:val="737"/>
    <w:link w:val="180"/>
    <w:uiPriority w:val="99"/>
    <w:semiHidden/>
    <w:pPr>
      <w:pBdr/>
      <w:spacing/>
      <w:ind/>
    </w:pPr>
    <w:rPr>
      <w:sz w:val="20"/>
      <w:szCs w:val="20"/>
    </w:rPr>
  </w:style>
  <w:style w:type="character" w:styleId="182">
    <w:name w:val="footnote reference"/>
    <w:basedOn w:val="737"/>
    <w:uiPriority w:val="99"/>
    <w:semiHidden/>
    <w:unhideWhenUsed/>
    <w:pPr>
      <w:pBdr/>
      <w:spacing/>
      <w:ind/>
    </w:pPr>
    <w:rPr>
      <w:vertAlign w:val="superscript"/>
    </w:rPr>
  </w:style>
  <w:style w:type="paragraph" w:styleId="183">
    <w:name w:val="endnote text"/>
    <w:basedOn w:val="733"/>
    <w:link w:val="184"/>
    <w:uiPriority w:val="99"/>
    <w:semiHidden/>
    <w:unhideWhenUsed/>
    <w:pPr>
      <w:pBdr/>
      <w:spacing w:after="0" w:line="240" w:lineRule="auto"/>
      <w:ind/>
    </w:pPr>
    <w:rPr>
      <w:sz w:val="20"/>
      <w:szCs w:val="20"/>
    </w:rPr>
  </w:style>
  <w:style w:type="character" w:styleId="184">
    <w:name w:val="Endnote Text Char"/>
    <w:basedOn w:val="737"/>
    <w:link w:val="183"/>
    <w:uiPriority w:val="99"/>
    <w:semiHidden/>
    <w:pPr>
      <w:pBdr/>
      <w:spacing/>
      <w:ind/>
    </w:pPr>
    <w:rPr>
      <w:sz w:val="20"/>
      <w:szCs w:val="20"/>
    </w:rPr>
  </w:style>
  <w:style w:type="character" w:styleId="185">
    <w:name w:val="endnote reference"/>
    <w:basedOn w:val="737"/>
    <w:uiPriority w:val="99"/>
    <w:semiHidden/>
    <w:unhideWhenUsed/>
    <w:pPr>
      <w:pBdr/>
      <w:spacing/>
      <w:ind/>
    </w:pPr>
    <w:rPr>
      <w:vertAlign w:val="superscript"/>
    </w:rPr>
  </w:style>
  <w:style w:type="character" w:styleId="186">
    <w:name w:val="Hyperlink"/>
    <w:basedOn w:val="737"/>
    <w:uiPriority w:val="99"/>
    <w:unhideWhenUsed/>
    <w:pPr>
      <w:pBdr/>
      <w:spacing/>
      <w:ind/>
    </w:pPr>
    <w:rPr>
      <w:color w:val="0563c1" w:themeColor="hyperlink"/>
      <w:u w:val="single"/>
    </w:rPr>
  </w:style>
  <w:style w:type="character" w:styleId="187">
    <w:name w:val="FollowedHyperlink"/>
    <w:basedOn w:val="737"/>
    <w:uiPriority w:val="99"/>
    <w:semiHidden/>
    <w:unhideWhenUsed/>
    <w:pPr>
      <w:pBdr/>
      <w:spacing/>
      <w:ind/>
    </w:pPr>
    <w:rPr>
      <w:color w:val="954f72" w:themeColor="followedHyperlink"/>
      <w:u w:val="single"/>
    </w:rPr>
  </w:style>
  <w:style w:type="paragraph" w:styleId="197">
    <w:name w:val="TOC Heading"/>
    <w:uiPriority w:val="39"/>
    <w:unhideWhenUsed/>
    <w:pPr>
      <w:pBdr/>
      <w:spacing/>
      <w:ind/>
    </w:pPr>
  </w:style>
  <w:style w:type="paragraph" w:styleId="198">
    <w:name w:val="table of figures"/>
    <w:basedOn w:val="733"/>
    <w:next w:val="733"/>
    <w:uiPriority w:val="99"/>
    <w:unhideWhenUsed/>
    <w:pPr>
      <w:pBdr/>
      <w:spacing w:after="0" w:afterAutospacing="0"/>
      <w:ind/>
    </w:pPr>
  </w:style>
  <w:style w:type="paragraph" w:styleId="733" w:default="1">
    <w:name w:val="Normal"/>
    <w:qFormat/>
    <w:pPr>
      <w:pBdr/>
      <w:spacing/>
      <w:ind w:left="360"/>
    </w:pPr>
    <w:rPr>
      <w:rFonts w:ascii="Proxima Nova Rg" w:hAnsi="Proxima Nova Rg"/>
      <w:sz w:val="24"/>
      <w:szCs w:val="24"/>
    </w:rPr>
  </w:style>
  <w:style w:type="paragraph" w:styleId="734">
    <w:name w:val="Heading 1"/>
    <w:basedOn w:val="733"/>
    <w:next w:val="733"/>
    <w:link w:val="740"/>
    <w:uiPriority w:val="9"/>
    <w:qFormat/>
    <w:pPr>
      <w:numPr>
        <w:numId w:val="1"/>
      </w:numPr>
      <w:pBdr/>
      <w:spacing w:after="120"/>
      <w:ind/>
      <w:outlineLvl w:val="0"/>
    </w:pPr>
    <w:rPr>
      <w:b/>
      <w:bCs/>
      <w:color w:val="e07048"/>
      <w:sz w:val="28"/>
      <w:szCs w:val="28"/>
    </w:rPr>
  </w:style>
  <w:style w:type="paragraph" w:styleId="735">
    <w:name w:val="Heading 2"/>
    <w:basedOn w:val="733"/>
    <w:next w:val="733"/>
    <w:link w:val="741"/>
    <w:uiPriority w:val="9"/>
    <w:unhideWhenUsed/>
    <w:qFormat/>
    <w:pPr>
      <w:numPr>
        <w:ilvl w:val="1"/>
        <w:numId w:val="1"/>
      </w:numPr>
      <w:pBdr/>
      <w:spacing w:after="120"/>
      <w:ind/>
      <w:outlineLvl w:val="1"/>
    </w:pPr>
    <w:rPr>
      <w:b/>
      <w:bCs/>
    </w:rPr>
  </w:style>
  <w:style w:type="paragraph" w:styleId="736">
    <w:name w:val="Heading 3"/>
    <w:basedOn w:val="733"/>
    <w:next w:val="733"/>
    <w:link w:val="742"/>
    <w:uiPriority w:val="9"/>
    <w:unhideWhenUsed/>
    <w:qFormat/>
    <w:pPr>
      <w:numPr>
        <w:ilvl w:val="2"/>
        <w:numId w:val="1"/>
      </w:numPr>
      <w:pBdr/>
      <w:spacing w:after="120"/>
      <w:ind/>
      <w:outlineLvl w:val="2"/>
    </w:pPr>
    <w:rPr>
      <w:b/>
      <w:bCs/>
    </w:rPr>
  </w:style>
  <w:style w:type="character" w:styleId="737" w:default="1">
    <w:name w:val="Default Paragraph Font"/>
    <w:uiPriority w:val="1"/>
    <w:semiHidden/>
    <w:unhideWhenUsed/>
    <w:pPr>
      <w:pBdr/>
      <w:spacing/>
      <w:ind/>
    </w:pPr>
  </w:style>
  <w:style w:type="table" w:styleId="738"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739" w:default="1">
    <w:name w:val="No List"/>
    <w:uiPriority w:val="99"/>
    <w:semiHidden/>
    <w:unhideWhenUsed/>
    <w:pPr>
      <w:pBdr/>
      <w:spacing/>
      <w:ind/>
    </w:pPr>
  </w:style>
  <w:style w:type="character" w:styleId="740" w:customStyle="1">
    <w:name w:val="Heading 1 Char"/>
    <w:basedOn w:val="737"/>
    <w:link w:val="734"/>
    <w:uiPriority w:val="9"/>
    <w:pPr>
      <w:pBdr/>
      <w:spacing/>
      <w:ind/>
    </w:pPr>
    <w:rPr>
      <w:rFonts w:ascii="Proxima Nova Rg" w:hAnsi="Proxima Nova Rg"/>
      <w:b/>
      <w:bCs/>
      <w:color w:val="e07048"/>
      <w:sz w:val="28"/>
      <w:szCs w:val="28"/>
    </w:rPr>
  </w:style>
  <w:style w:type="character" w:styleId="741" w:customStyle="1">
    <w:name w:val="Heading 2 Char"/>
    <w:basedOn w:val="737"/>
    <w:link w:val="735"/>
    <w:uiPriority w:val="9"/>
    <w:pPr>
      <w:pBdr/>
      <w:spacing/>
      <w:ind/>
    </w:pPr>
    <w:rPr>
      <w:rFonts w:ascii="Proxima Nova Rg" w:hAnsi="Proxima Nova Rg"/>
      <w:b/>
      <w:bCs/>
      <w:sz w:val="24"/>
      <w:szCs w:val="24"/>
    </w:rPr>
  </w:style>
  <w:style w:type="character" w:styleId="742" w:customStyle="1">
    <w:name w:val="Heading 3 Char"/>
    <w:basedOn w:val="737"/>
    <w:link w:val="736"/>
    <w:uiPriority w:val="9"/>
    <w:pPr>
      <w:pBdr/>
      <w:spacing/>
      <w:ind/>
    </w:pPr>
    <w:rPr>
      <w:rFonts w:ascii="Proxima Nova Rg" w:hAnsi="Proxima Nova Rg"/>
      <w:b/>
      <w:bCs/>
      <w:sz w:val="24"/>
      <w:szCs w:val="24"/>
    </w:rPr>
  </w:style>
  <w:style w:type="paragraph" w:styleId="743">
    <w:name w:val="List Paragraph"/>
    <w:basedOn w:val="733"/>
    <w:uiPriority w:val="34"/>
    <w:qFormat/>
    <w:pPr>
      <w:pBdr/>
      <w:spacing/>
      <w:ind w:left="720"/>
      <w:contextualSpacing w:val="true"/>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image" Target="media/image1.png"/></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ONLYOFFICE/8.1.1.27</Application>
  <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Blueberry Digital</dc:creator>
  <cp:keywords/>
  <dc:description/>
  <cp:revision>12</cp:revision>
  <dcterms:created xsi:type="dcterms:W3CDTF">2023-10-15T23:57:00Z</dcterms:created>
  <dcterms:modified xsi:type="dcterms:W3CDTF">2024-08-10T12:29:08Z</dcterms:modified>
</cp:coreProperties>
</file>