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8"/>
        <w:pageBreakBefore w:val="false"/>
        <w:pBdr/>
        <w:spacing/>
        <w:ind/>
        <w:jc w:val="center"/>
        <w:rPr>
          <w:b/>
          <w:bCs/>
          <w:color w:val="073763"/>
          <w:sz w:val="36"/>
          <w:szCs w:val="36"/>
          <w:highlight w:val="none"/>
        </w:rPr>
      </w:pPr>
      <w:r>
        <w:rPr>
          <w:b/>
          <w:bCs/>
          <w:sz w:val="36"/>
          <w:szCs w:val="36"/>
        </w:rPr>
      </w:r>
      <w:bookmarkStart w:id="0" w:name="_l6ow2iwnqc27"/>
      <w:r>
        <w:rPr>
          <w:b/>
          <w:bCs/>
          <w:sz w:val="36"/>
          <w:szCs w:val="36"/>
        </w:rPr>
      </w:r>
      <w:bookmarkEnd w:id="0"/>
      <w:r>
        <w:rPr>
          <w:b/>
          <w:bCs/>
          <w:color w:val="073763"/>
          <w:sz w:val="36"/>
          <w:szCs w:val="36"/>
          <w:rtl w:val="0"/>
        </w:rPr>
        <w:t xml:space="preserve">Memorandum of Understanding</w:t>
      </w:r>
      <w:r>
        <w:rPr>
          <w:b/>
          <w:bCs/>
          <w:color w:val="073763"/>
          <w:sz w:val="36"/>
          <w:szCs w:val="36"/>
        </w:rPr>
      </w:r>
      <w:r>
        <w:rPr>
          <w:b/>
          <w:bCs/>
          <w:color w:val="073763"/>
          <w:sz w:val="36"/>
          <w:szCs w:val="36"/>
        </w:rPr>
      </w:r>
    </w:p>
    <w:p>
      <w:pPr>
        <w:pStyle w:val="918"/>
        <w:pageBreakBefore w:val="false"/>
        <w:pBdr/>
        <w:spacing/>
        <w:ind/>
        <w:rPr>
          <w:b/>
          <w:bCs/>
          <w:i/>
          <w:color w:val="073763"/>
          <w:sz w:val="36"/>
          <w:szCs w:val="36"/>
        </w:rPr>
      </w:pPr>
      <w:r>
        <w:rPr>
          <w:b/>
          <w:bCs/>
          <w:i/>
          <w:iCs/>
          <w:sz w:val="36"/>
          <w:szCs w:val="36"/>
        </w:rPr>
      </w:r>
      <w:bookmarkStart w:id="1" w:name="_eo9ndsmyotfc"/>
      <w:r>
        <w:rPr>
          <w:b/>
          <w:bCs/>
          <w:i/>
          <w:iCs/>
          <w:sz w:val="36"/>
          <w:szCs w:val="36"/>
        </w:rPr>
      </w:r>
      <w:bookmarkEnd w:id="1"/>
      <w:r>
        <w:rPr>
          <w:b w:val="0"/>
          <w:bCs w:val="0"/>
          <w:i/>
          <w:iCs/>
          <w:color w:val="073763"/>
          <w:sz w:val="36"/>
          <w:szCs w:val="36"/>
          <w:rtl w:val="0"/>
        </w:rPr>
        <w:t xml:space="preserve">between</w:t>
      </w:r>
      <w:r>
        <w:rPr>
          <w:b w:val="0"/>
          <w:bCs w:val="0"/>
          <w:i/>
          <w:iCs/>
          <w:color w:val="073763"/>
          <w:sz w:val="36"/>
          <w:szCs w:val="36"/>
        </w:rPr>
      </w:r>
      <w:r>
        <w:rPr>
          <w:b/>
          <w:bCs/>
          <w:i/>
          <w:iCs/>
          <w:color w:val="073763"/>
          <w:sz w:val="36"/>
          <w:szCs w:val="36"/>
        </w:rPr>
      </w:r>
    </w:p>
    <w:p>
      <w:pPr>
        <w:pStyle w:val="917"/>
        <w:pageBreakBefore w:val="false"/>
        <w:pBdr/>
        <w:spacing w:after="0" w:afterAutospacing="0" w:line="240" w:lineRule="auto"/>
        <w:ind/>
        <w:rPr>
          <w:b/>
          <w:bCs/>
          <w:color w:val="073763"/>
          <w:sz w:val="48"/>
          <w:szCs w:val="48"/>
        </w:rPr>
      </w:pPr>
      <w:r>
        <w:rPr>
          <w:b/>
          <w:bCs/>
          <w:sz w:val="48"/>
          <w:szCs w:val="48"/>
        </w:rPr>
      </w:r>
      <w:bookmarkStart w:id="2" w:name="_tfmk5gl052pa"/>
      <w:r>
        <w:rPr>
          <w:b/>
          <w:bCs/>
          <w:sz w:val="48"/>
          <w:szCs w:val="48"/>
        </w:rPr>
      </w:r>
      <w:bookmarkEnd w:id="2"/>
      <w:r>
        <w:rPr>
          <w:b/>
          <w:bCs/>
          <w:sz w:val="48"/>
          <w:szCs w:val="48"/>
          <w:rtl w:val="0"/>
        </w:rPr>
        <w:t xml:space="preserve">Zawadi Prep CBC</w:t>
      </w:r>
      <w:r>
        <w:rPr>
          <w:b/>
          <w:bCs/>
          <w:color w:val="073763"/>
          <w:sz w:val="48"/>
          <w:szCs w:val="48"/>
          <w:rtl w:val="0"/>
        </w:rPr>
      </w:r>
      <w:r>
        <w:rPr>
          <w:b/>
          <w:bCs/>
          <w:color w:val="073763"/>
          <w:sz w:val="48"/>
          <w:szCs w:val="48"/>
        </w:rPr>
      </w:r>
    </w:p>
    <w:p>
      <w:pPr>
        <w:pStyle w:val="917"/>
        <w:pageBreakBefore w:val="false"/>
        <w:pBdr/>
        <w:spacing w:after="0" w:afterAutospacing="0" w:line="240" w:lineRule="auto"/>
        <w:ind/>
        <w:rPr>
          <w:b/>
          <w:bCs/>
          <w:color w:val="073763"/>
          <w:sz w:val="36"/>
          <w:szCs w:val="36"/>
        </w:rPr>
      </w:pPr>
      <w:r>
        <w:rPr>
          <w:b w:val="0"/>
          <w:bCs w:val="0"/>
          <w:i/>
          <w:iCs/>
          <w:color w:val="073763"/>
          <w:sz w:val="36"/>
          <w:szCs w:val="36"/>
          <w:rtl w:val="0"/>
        </w:rPr>
        <w:t xml:space="preserve">and</w:t>
      </w:r>
      <w:r>
        <w:rPr>
          <w:b w:val="0"/>
          <w:bCs w:val="0"/>
          <w:i/>
          <w:iCs/>
          <w:color w:val="073763"/>
          <w:sz w:val="36"/>
          <w:szCs w:val="36"/>
        </w:rPr>
      </w:r>
      <w:r>
        <w:rPr>
          <w:b/>
          <w:bCs/>
          <w:sz w:val="36"/>
          <w:szCs w:val="36"/>
        </w:rPr>
      </w:r>
    </w:p>
    <w:p>
      <w:pPr>
        <w:pStyle w:val="917"/>
        <w:pageBreakBefore w:val="false"/>
        <w:pBdr/>
        <w:spacing w:after="0" w:afterAutospacing="0" w:line="240" w:lineRule="auto"/>
        <w:ind/>
        <w:rPr>
          <w:b/>
          <w:bCs/>
          <w:color w:val="073763"/>
          <w:sz w:val="48"/>
          <w:szCs w:val="48"/>
        </w:rPr>
      </w:pPr>
      <w:r>
        <w:rPr>
          <w:b/>
          <w:bCs/>
          <w:sz w:val="48"/>
          <w:szCs w:val="48"/>
          <w:rtl w:val="0"/>
        </w:rPr>
        <w:t xml:space="preserve">TechLit Africa</w:t>
      </w:r>
      <w:r>
        <w:rPr>
          <w:b/>
          <w:bCs/>
          <w:color w:val="073763"/>
          <w:sz w:val="48"/>
          <w:szCs w:val="48"/>
        </w:rPr>
      </w:r>
      <w:r>
        <w:rPr>
          <w:b/>
          <w:bCs/>
          <w:sz w:val="48"/>
          <w:szCs w:val="48"/>
        </w:rPr>
      </w:r>
      <w:r>
        <w:rPr>
          <w:highlight w:val="none"/>
          <w:rtl w:val="0"/>
        </w:rPr>
      </w:r>
      <w:r>
        <w:rPr>
          <w:highlight w:val="none"/>
          <w:rtl w:val="0"/>
        </w:rPr>
      </w:r>
      <w:r>
        <w:rPr>
          <w:b/>
          <w:bCs/>
          <w:color w:val="073763"/>
          <w:sz w:val="48"/>
          <w:szCs w:val="48"/>
        </w:rPr>
      </w:r>
      <w:r/>
      <w:r/>
      <w:r>
        <w:rPr>
          <w:b/>
          <w:bCs/>
          <w:color w:val="073763"/>
          <w:sz w:val="48"/>
          <w:szCs w:val="48"/>
        </w:rPr>
      </w:r>
    </w:p>
    <w:p>
      <w:pPr>
        <w:pStyle w:val="911"/>
        <w:pageBreakBefore w:val="false"/>
        <w:pBdr/>
        <w:spacing/>
        <w:ind/>
        <w:rPr>
          <w:highlight w:val="none"/>
        </w:rPr>
      </w:pPr>
      <w:r/>
      <w:bookmarkStart w:id="3" w:name="_3kfl65z5m4fi"/>
      <w:r/>
      <w:bookmarkEnd w:id="3"/>
      <w:r>
        <w:rPr>
          <w:rtl w:val="0"/>
        </w:rPr>
        <w:t xml:space="preserve">Zawadi Prep CBC</w:t>
      </w:r>
      <w:r>
        <w:rPr>
          <w:rtl w:val="0"/>
        </w:rPr>
      </w:r>
      <w:r/>
    </w:p>
    <w:p>
      <w:pPr>
        <w:pStyle w:val="912"/>
        <w:pageBreakBefore w:val="false"/>
        <w:pBdr/>
        <w:spacing w:after="200"/>
        <w:ind/>
        <w:rPr>
          <w:color w:val="1c4587"/>
        </w:rPr>
      </w:pPr>
      <w:r/>
      <w:bookmarkStart w:id="4" w:name="_1cat1whj5m7x"/>
      <w:r/>
      <w:bookmarkEnd w:id="4"/>
      <w:r>
        <w:rPr>
          <w:rtl w:val="0"/>
        </w:rPr>
        <w:t xml:space="preserve">Zawadi</w:t>
      </w:r>
      <w:r>
        <w:rPr>
          <w:color w:val="1c4587"/>
          <w:rtl w:val="0"/>
        </w:rPr>
        <w:t xml:space="preserve">’s Background</w:t>
      </w:r>
      <w:r>
        <w:rPr>
          <w:color w:val="1c4587"/>
        </w:rPr>
      </w:r>
      <w:r>
        <w:rPr>
          <w:color w:val="1c4587"/>
        </w:rPr>
      </w:r>
    </w:p>
    <w:p>
      <w:pPr>
        <w:pageBreakBefore w:val="false"/>
        <w:pBdr/>
        <w:spacing/>
        <w:ind/>
        <w:rPr/>
      </w:pPr>
      <w:r>
        <w:rPr>
          <w:color w:val="191919"/>
          <w:rtl w:val="0"/>
        </w:rPr>
        <w:t xml:space="preserve">Zawadi is a Kenyan social enterprise that provides high-quality primary education along with community training and empowerment with emphasis on digital literacy. Za</w:t>
      </w:r>
      <w:r>
        <w:rPr>
          <w:color w:val="191919"/>
          <w:rtl w:val="0"/>
        </w:rPr>
        <w:t xml:space="preserve">wadi Campus hosts both the primary school and several community programs. Zawadi’s  community programs are intended to  provide trade classes, adult literacy and digital training enough for anyone to secure an on-line job both in Kenya and internationally.</w:t>
      </w:r>
      <w:r>
        <w:rPr>
          <w:rtl w:val="0"/>
        </w:rPr>
      </w:r>
      <w:r/>
    </w:p>
    <w:p>
      <w:pPr>
        <w:pageBreakBefore w:val="false"/>
        <w:pBdr/>
        <w:spacing/>
        <w:ind/>
        <w:rPr/>
      </w:pPr>
      <w:r>
        <w:rPr>
          <w:rtl w:val="0"/>
        </w:rPr>
        <w:t xml:space="preserve">Zawadi was started in 2016 by Nelly Cheboi. Zawadi built the fir</w:t>
      </w:r>
      <w:r>
        <w:rPr>
          <w:rtl w:val="0"/>
        </w:rPr>
        <w:t xml:space="preserve">st four classrooms to offer kindergarten education. It’s vision was to improve technology literacy and promote self-teaching at a young age. Zawadi added four more classrooms in 2017 and continued to offer lower primary education. In 2019, Zawadi started e</w:t>
      </w:r>
      <w:r>
        <w:rPr>
          <w:rtl w:val="0"/>
        </w:rPr>
        <w:t xml:space="preserve">xpanding the school to a four-story campus  that is going to include digital labs for the community and trade schools training such as tailoring and hair braiding.  Zawadi believes that these skills will empower its community and provide sources of income.</w:t>
      </w:r>
      <w:r>
        <w:rPr>
          <w:rtl w:val="0"/>
        </w:rPr>
      </w:r>
      <w:r/>
    </w:p>
    <w:p>
      <w:pPr>
        <w:pStyle w:val="912"/>
        <w:pageBreakBefore w:val="false"/>
        <w:pBdr/>
        <w:spacing/>
        <w:ind/>
        <w:rPr/>
      </w:pPr>
      <w:r/>
      <w:bookmarkStart w:id="5" w:name="_dzjg7akqdjgv"/>
      <w:r/>
      <w:bookmarkEnd w:id="5"/>
      <w:r>
        <w:rPr>
          <w:rtl w:val="0"/>
        </w:rPr>
        <w:t xml:space="preserve">Zawadi’s Services</w:t>
      </w:r>
      <w:r/>
    </w:p>
    <w:p>
      <w:pPr>
        <w:pageBreakBefore w:val="false"/>
        <w:numPr>
          <w:ilvl w:val="0"/>
          <w:numId w:val="1"/>
        </w:numPr>
        <w:pBdr/>
        <w:spacing w:after="0"/>
        <w:ind w:hanging="360" w:left="720"/>
        <w:rPr/>
      </w:pPr>
      <w:r>
        <w:rPr>
          <w:rtl w:val="0"/>
        </w:rPr>
        <w:t xml:space="preserve">Lower primary education Grades 1 - 6</w:t>
      </w:r>
      <w:r/>
    </w:p>
    <w:p>
      <w:pPr>
        <w:pageBreakBefore w:val="false"/>
        <w:numPr>
          <w:ilvl w:val="0"/>
          <w:numId w:val="1"/>
        </w:numPr>
        <w:pBdr/>
        <w:spacing w:after="0"/>
        <w:ind w:hanging="360" w:left="720"/>
        <w:rPr/>
      </w:pPr>
      <w:r>
        <w:rPr>
          <w:rtl w:val="0"/>
        </w:rPr>
        <w:t xml:space="preserve">Digital training to the community</w:t>
      </w:r>
      <w:r/>
    </w:p>
    <w:p>
      <w:pPr>
        <w:pageBreakBefore w:val="false"/>
        <w:numPr>
          <w:ilvl w:val="0"/>
          <w:numId w:val="1"/>
        </w:numPr>
        <w:pBdr/>
        <w:spacing w:after="0"/>
        <w:ind w:hanging="360" w:left="720"/>
        <w:rPr/>
      </w:pPr>
      <w:r>
        <w:rPr>
          <w:rtl w:val="0"/>
        </w:rPr>
        <w:t xml:space="preserve">Remote work training</w:t>
      </w:r>
      <w:r/>
    </w:p>
    <w:p>
      <w:pPr>
        <w:pageBreakBefore w:val="false"/>
        <w:numPr>
          <w:ilvl w:val="0"/>
          <w:numId w:val="1"/>
        </w:numPr>
        <w:pBdr/>
        <w:spacing w:after="0"/>
        <w:ind w:hanging="360" w:left="720"/>
        <w:rPr/>
      </w:pPr>
      <w:r>
        <w:rPr>
          <w:rtl w:val="0"/>
        </w:rPr>
        <w:t xml:space="preserve">Trade skills training</w:t>
      </w:r>
      <w:r/>
    </w:p>
    <w:p>
      <w:pPr>
        <w:pageBreakBefore w:val="false"/>
        <w:numPr>
          <w:ilvl w:val="0"/>
          <w:numId w:val="1"/>
        </w:numPr>
        <w:pBdr/>
        <w:spacing w:after="0"/>
        <w:ind w:hanging="360" w:left="720"/>
        <w:rPr/>
      </w:pPr>
      <w:r>
        <w:rPr>
          <w:rtl w:val="0"/>
        </w:rPr>
        <w:t xml:space="preserve">Community Library</w:t>
      </w:r>
      <w:r/>
      <w:r/>
      <w:bookmarkStart w:id="6" w:name="_upewyl8lhecc"/>
      <w:r/>
      <w:bookmarkEnd w:id="6"/>
      <w:r>
        <w:rPr>
          <w:rtl w:val="0"/>
        </w:rPr>
      </w:r>
      <w:r/>
      <w:r/>
    </w:p>
    <w:p>
      <w:pPr>
        <w:pStyle w:val="911"/>
        <w:pageBreakBefore w:val="false"/>
        <w:pBdr/>
        <w:spacing/>
        <w:ind/>
        <w:rPr>
          <w:rFonts w:ascii="Georgia" w:hAnsi="Georgia" w:cs="Georgia"/>
        </w:rPr>
      </w:pPr>
      <w:r>
        <w:rPr>
          <w:rFonts w:ascii="Georgia" w:hAnsi="Georgia" w:eastAsia="Georgia" w:cs="Georgia"/>
        </w:rPr>
      </w:r>
      <w:bookmarkStart w:id="7" w:name="_vyqd84k9qrr6"/>
      <w:r>
        <w:rPr>
          <w:rFonts w:ascii="Georgia" w:hAnsi="Georgia" w:eastAsia="Georgia" w:cs="Georgia"/>
        </w:rPr>
      </w:r>
      <w:bookmarkEnd w:id="7"/>
      <w:r>
        <w:rPr>
          <w:rFonts w:ascii="Georgia" w:hAnsi="Georgia" w:eastAsia="Georgia" w:cs="Georgia"/>
          <w:rtl w:val="0"/>
        </w:rPr>
        <w:t xml:space="preserve">TechLit Africa</w:t>
      </w:r>
      <w:r>
        <w:rPr>
          <w:rFonts w:ascii="Georgia" w:hAnsi="Georgia" w:eastAsia="Georgia" w:cs="Georgia"/>
        </w:rPr>
      </w:r>
    </w:p>
    <w:p>
      <w:pPr>
        <w:pStyle w:val="912"/>
        <w:pageBreakBefore w:val="false"/>
        <w:pBdr/>
        <w:spacing/>
        <w:ind/>
        <w:rPr/>
      </w:pPr>
      <w:r/>
      <w:bookmarkStart w:id="8" w:name="_p43fjs4srppa"/>
      <w:r/>
      <w:bookmarkEnd w:id="8"/>
      <w:r>
        <w:rPr>
          <w:rtl w:val="0"/>
        </w:rPr>
        <w:t xml:space="preserve">TechLit’s Background</w:t>
      </w:r>
      <w:r/>
    </w:p>
    <w:p>
      <w:pPr>
        <w:pageBreakBefore w:val="false"/>
        <w:pBdr/>
        <w:spacing/>
        <w:ind/>
        <w:rPr/>
      </w:pPr>
      <w:r>
        <w:rPr>
          <w:rtl w:val="0"/>
        </w:rPr>
        <w:t xml:space="preserve">Technologically Literate Africa (TechLit) is a 501-3c non-profit headquartered in Shabbona, Illinois. The mission of TechLit is to level the playing field for rural Africans by fostering the adoption of technology in education, business and government.</w:t>
      </w:r>
      <w:r/>
    </w:p>
    <w:p>
      <w:pPr>
        <w:pageBreakBefore w:val="false"/>
        <w:pBdr/>
        <w:spacing/>
        <w:ind/>
        <w:rPr/>
      </w:pPr>
      <w:r>
        <w:rPr>
          <w:rtl w:val="0"/>
        </w:rPr>
        <w:t xml:space="preserve">TechLit started by building a computer lab in Mogotio, Kenya in December, 2018.  </w:t>
      </w:r>
      <w:r>
        <w:rPr>
          <w:rtl w:val="0"/>
        </w:rPr>
        <w:t xml:space="preserve">Zawadi Preparatory, the primary school that hosts the lab, now has computer classes in their curriculum for over 200 primary school students. During school holidays, TechLit runs an open lab, which drew over 1200 students during the last month it was open.</w:t>
      </w:r>
      <w:r/>
    </w:p>
    <w:p>
      <w:pPr>
        <w:pageBreakBefore w:val="false"/>
        <w:pBdr/>
        <w:spacing/>
        <w:ind/>
        <w:rPr/>
      </w:pPr>
      <w:r>
        <w:rPr>
          <w:rtl w:val="0"/>
        </w:rPr>
        <w:t xml:space="preserve">TechLit has recently imported hundreds </w:t>
      </w:r>
      <w:r>
        <w:rPr>
          <w:rtl w:val="0"/>
        </w:rPr>
        <w:t xml:space="preserve">of computers and peripherals into Kenya, and plans to import more. Equipment donated to TechLit may go to additional schools (called member schools), who enter into an agreement with TechLit. Becoming a partner enables them to receive additional  services.</w:t>
      </w:r>
      <w:r/>
    </w:p>
    <w:p>
      <w:pPr>
        <w:pageBreakBefore w:val="false"/>
        <w:pBdr/>
        <w:spacing/>
        <w:ind/>
        <w:rPr/>
      </w:pPr>
      <w:r>
        <w:rPr>
          <w:rtl w:val="0"/>
        </w:rPr>
        <w:t xml:space="preserve">TechLit now donates computers and other equipment to other organizations (Partners) for use in their own schools and communities. In these arrangements, the Partners typically cover the cost of packing and shipping.</w:t>
      </w:r>
      <w:r/>
    </w:p>
    <w:p>
      <w:pPr>
        <w:pStyle w:val="912"/>
        <w:pageBreakBefore w:val="false"/>
        <w:pBdr/>
        <w:spacing/>
        <w:ind/>
        <w:rPr/>
      </w:pPr>
      <w:r/>
      <w:bookmarkStart w:id="9" w:name="_knpl8nheqnay"/>
      <w:r/>
      <w:bookmarkEnd w:id="9"/>
      <w:r>
        <w:rPr>
          <w:rtl w:val="0"/>
        </w:rPr>
        <w:t xml:space="preserve">TechLit’s Services</w:t>
      </w:r>
      <w:r/>
    </w:p>
    <w:p>
      <w:pPr>
        <w:pageBreakBefore w:val="false"/>
        <w:numPr>
          <w:ilvl w:val="0"/>
          <w:numId w:val="2"/>
        </w:numPr>
        <w:pBdr/>
        <w:spacing w:after="0"/>
        <w:ind w:hanging="360" w:left="720"/>
        <w:rPr/>
      </w:pPr>
      <w:r>
        <w:rPr>
          <w:rtl w:val="0"/>
        </w:rPr>
        <w:t xml:space="preserve">Collecting and storing computer donations</w:t>
      </w:r>
      <w:r/>
    </w:p>
    <w:p>
      <w:pPr>
        <w:pageBreakBefore w:val="false"/>
        <w:numPr>
          <w:ilvl w:val="0"/>
          <w:numId w:val="2"/>
        </w:numPr>
        <w:pBdr/>
        <w:spacing w:after="0"/>
        <w:ind w:hanging="360" w:left="720"/>
        <w:rPr/>
      </w:pPr>
      <w:r>
        <w:rPr>
          <w:rtl w:val="0"/>
        </w:rPr>
        <w:t xml:space="preserve">Repurposing computers with tools and games for education</w:t>
      </w:r>
      <w:r/>
    </w:p>
    <w:p>
      <w:pPr>
        <w:pageBreakBefore w:val="false"/>
        <w:numPr>
          <w:ilvl w:val="0"/>
          <w:numId w:val="2"/>
        </w:numPr>
        <w:pBdr/>
        <w:spacing w:after="0"/>
        <w:ind w:hanging="360" w:left="720"/>
        <w:rPr/>
      </w:pPr>
      <w:r>
        <w:rPr>
          <w:rtl w:val="0"/>
        </w:rPr>
        <w:t xml:space="preserve">Installing computer labs in member schools</w:t>
      </w:r>
      <w:r/>
    </w:p>
    <w:p>
      <w:pPr>
        <w:pageBreakBefore w:val="false"/>
        <w:numPr>
          <w:ilvl w:val="0"/>
          <w:numId w:val="2"/>
        </w:numPr>
        <w:pBdr/>
        <w:spacing w:after="0"/>
        <w:ind w:hanging="360" w:left="720"/>
        <w:rPr/>
      </w:pPr>
      <w:r>
        <w:rPr>
          <w:rtl w:val="0"/>
        </w:rPr>
        <w:t xml:space="preserve">Organizing community outreach from member schools</w:t>
      </w:r>
      <w:r/>
    </w:p>
    <w:p>
      <w:pPr>
        <w:pageBreakBefore w:val="false"/>
        <w:numPr>
          <w:ilvl w:val="0"/>
          <w:numId w:val="2"/>
        </w:numPr>
        <w:pBdr/>
        <w:spacing w:after="0"/>
        <w:ind w:hanging="360" w:left="720"/>
        <w:rPr/>
      </w:pPr>
      <w:r>
        <w:rPr>
          <w:rtl w:val="0"/>
        </w:rPr>
        <w:t xml:space="preserve">Refurbishing and recycling equipment from member schools</w:t>
      </w:r>
      <w:r/>
    </w:p>
    <w:p>
      <w:pPr>
        <w:pageBreakBefore w:val="false"/>
        <w:numPr>
          <w:ilvl w:val="0"/>
          <w:numId w:val="2"/>
        </w:numPr>
        <w:pBdr/>
        <w:spacing w:after="0"/>
        <w:ind w:hanging="360" w:left="720"/>
        <w:rPr/>
      </w:pPr>
      <w:r>
        <w:rPr>
          <w:rtl w:val="0"/>
        </w:rPr>
        <w:t xml:space="preserve">Updating content and programs in member schools</w:t>
      </w:r>
      <w:r/>
      <w:r>
        <w:rPr>
          <w:rtl w:val="0"/>
        </w:rPr>
      </w:r>
      <w:r/>
      <w:r/>
    </w:p>
    <w:p>
      <w:pPr>
        <w:pStyle w:val="911"/>
        <w:pageBreakBefore w:val="false"/>
        <w:pBdr>
          <w:top w:val="none" w:color="000000" w:sz="0" w:space="0"/>
          <w:left w:val="none" w:color="000000" w:sz="0" w:space="0"/>
          <w:bottom w:val="none" w:color="000000" w:sz="0" w:space="0"/>
          <w:right w:val="none" w:color="000000" w:sz="0" w:space="0"/>
          <w:between w:val="none" w:color="000000" w:sz="0" w:space="0"/>
        </w:pBdr>
        <w:spacing/>
        <w:ind/>
        <w:rPr/>
      </w:pPr>
      <w:r/>
      <w:bookmarkStart w:id="10" w:name="_nsaw14nahd22"/>
      <w:r/>
      <w:bookmarkEnd w:id="10"/>
      <w:r>
        <w:rPr>
          <w:rtl w:val="0"/>
        </w:rPr>
        <w:t xml:space="preserve">Purposes of this Understanding</w:t>
      </w:r>
      <w:r/>
    </w:p>
    <w:p>
      <w:pPr>
        <w:pageBreakBefore w:val="false"/>
        <w:pBdr/>
        <w:spacing/>
        <w:ind/>
        <w:rPr/>
      </w:pPr>
      <w:r>
        <w:rPr>
          <w:rtl w:val="0"/>
        </w:rPr>
        <w:t xml:space="preserve">Both Zawadi and TechLit Africa are interested in working together to help better the future of African children and Africa at large. Both organizations will continue in their regular work, and also collaborate in the following areas.</w:t>
      </w:r>
      <w:r/>
    </w:p>
    <w:p>
      <w:pPr>
        <w:pageBreakBefore w:val="false"/>
        <w:pBdr/>
        <w:spacing/>
        <w:ind/>
        <w:rPr>
          <w:color w:val="1c4587"/>
          <w:sz w:val="32"/>
          <w:szCs w:val="32"/>
        </w:rPr>
      </w:pPr>
      <w:r>
        <w:rPr>
          <w:color w:val="1c4587"/>
          <w:sz w:val="32"/>
          <w:szCs w:val="32"/>
          <w:rtl w:val="0"/>
        </w:rPr>
        <w:t xml:space="preserve">1. Setup</w:t>
      </w:r>
      <w:r>
        <w:rPr>
          <w:color w:val="1c4587"/>
          <w:sz w:val="32"/>
          <w:szCs w:val="32"/>
        </w:rPr>
      </w:r>
      <w:r>
        <w:rPr>
          <w:color w:val="1c4587"/>
          <w:sz w:val="32"/>
          <w:szCs w:val="32"/>
        </w:rPr>
      </w:r>
    </w:p>
    <w:p>
      <w:pPr>
        <w:pageBreakBefore w:val="false"/>
        <w:pBdr/>
        <w:spacing/>
        <w:ind/>
        <w:rPr/>
      </w:pPr>
      <w:r>
        <w:rPr>
          <w:rtl w:val="0"/>
        </w:rPr>
        <w:t xml:space="preserve">Zawadi already owns two acre of land in Mogotio, Kenya.  Zawadi has been supporting the center from internal </w:t>
      </w:r>
      <w:r>
        <w:rPr>
          <w:rtl w:val="0"/>
        </w:rPr>
        <w:t xml:space="preserve">shareholders funds and wishes to partner with TechLit to build the second floor of the  campus.  Zawadi is a social enterprise in Kenya in which Nelly Cheboi is majority shareholder. Nelly Cheboi is also the founder and Executive Director of TechLit Africa</w:t>
      </w:r>
      <w:r/>
    </w:p>
    <w:p>
      <w:pPr>
        <w:pageBreakBefore w:val="false"/>
        <w:pBdr/>
        <w:spacing/>
        <w:ind/>
        <w:rPr/>
      </w:pPr>
      <w:r>
        <w:rPr>
          <w:rtl w:val="0"/>
        </w:rPr>
        <w:t xml:space="preserve">The architectural plan and all permits required to c</w:t>
      </w:r>
      <w:r>
        <w:rPr>
          <w:rtl w:val="0"/>
        </w:rPr>
        <w:t xml:space="preserve">ommence construction of the campus have already been approved by the Kenyan Government. Zawadi has already built the foundation and the first floor of the first wing of the building, which is currently in use by the school.. The pictures can be seen here: </w:t>
      </w:r>
      <w:hyperlink r:id="rId11" w:tooltip="https://api.techlitafrica.org/stories/zawadi" w:history="1">
        <w:r>
          <w:rPr>
            <w:color w:val="1155cc"/>
            <w:u w:val="single"/>
            <w:rtl w:val="0"/>
          </w:rPr>
          <w:t xml:space="preserve">https://api.techlitafrica.org/stories/zawadi</w:t>
        </w:r>
      </w:hyperlink>
      <w:r>
        <w:rPr>
          <w:rtl w:val="0"/>
        </w:rPr>
        <w:t xml:space="preserve">.  </w:t>
      </w:r>
      <w:r/>
    </w:p>
    <w:p>
      <w:pPr>
        <w:pageBreakBefore w:val="false"/>
        <w:pBdr/>
        <w:spacing/>
        <w:ind/>
        <w:rPr/>
      </w:pPr>
      <w:r>
        <w:rPr>
          <w:rtl w:val="0"/>
        </w:rPr>
        <w:t xml:space="preserve">Zawadi is soon to begin building the foundation and first floor of the second wing.  Zawadi intends to partner with TechLit to build the second floor of the campus. TechLit will fundraise for the</w:t>
      </w:r>
      <w:r>
        <w:rPr>
          <w:rtl w:val="0"/>
        </w:rPr>
        <w:t xml:space="preserve"> cost of this construction and on completion will commence a ten-year lease for that floor, the terms of which will be negotiated and signed before the initial deposit transfer of funds from TechLit to Zawadi referenced in this Memorandum of Understanding.</w:t>
      </w:r>
      <w:r/>
    </w:p>
    <w:p>
      <w:pPr>
        <w:pageBreakBefore w:val="false"/>
        <w:pBdr/>
        <w:spacing w:after="200"/>
        <w:ind w:firstLine="0" w:left="0"/>
        <w:rPr>
          <w:color w:val="1c4587"/>
          <w:sz w:val="32"/>
          <w:szCs w:val="32"/>
        </w:rPr>
      </w:pPr>
      <w:r>
        <w:rPr>
          <w:color w:val="1c4587"/>
          <w:sz w:val="32"/>
          <w:szCs w:val="32"/>
          <w:rtl w:val="0"/>
        </w:rPr>
        <w:t xml:space="preserve">2. Building the campus</w:t>
      </w:r>
      <w:r>
        <w:rPr>
          <w:color w:val="1c4587"/>
          <w:sz w:val="32"/>
          <w:szCs w:val="32"/>
        </w:rPr>
      </w:r>
      <w:r>
        <w:rPr>
          <w:color w:val="1c4587"/>
          <w:sz w:val="32"/>
          <w:szCs w:val="32"/>
        </w:rPr>
      </w:r>
    </w:p>
    <w:p>
      <w:pPr>
        <w:pageBreakBefore w:val="false"/>
        <w:pBdr/>
        <w:spacing/>
        <w:ind/>
        <w:rPr/>
      </w:pPr>
      <w:r>
        <w:rPr>
          <w:rtl w:val="0"/>
        </w:rPr>
        <w:t xml:space="preserve">Zawadi will oversee construction of the four-storied campus and will be solely responsible for construction and other risks associated w</w:t>
      </w:r>
      <w:r>
        <w:rPr>
          <w:rtl w:val="0"/>
        </w:rPr>
        <w:t xml:space="preserve">ith the construction of the project.  Parts of the campus may be leased out to other organizations that have similar missions as Zawadi. Here are some of the organizations that Zawadi could lease space to, or to provide a lease in exchange for fundraising.</w:t>
      </w:r>
      <w:r/>
    </w:p>
    <w:p>
      <w:pPr>
        <w:pageBreakBefore w:val="false"/>
        <w:numPr>
          <w:ilvl w:val="0"/>
          <w:numId w:val="3"/>
        </w:numPr>
        <w:pBdr/>
        <w:spacing/>
        <w:ind w:hanging="360" w:left="720"/>
        <w:rPr>
          <w:b/>
        </w:rPr>
      </w:pPr>
      <w:r>
        <w:rPr>
          <w:b/>
          <w:rtl w:val="0"/>
        </w:rPr>
        <w:t xml:space="preserve">TechLit Africa: Fostering a more technologically literate africa</w:t>
      </w:r>
      <w:r>
        <w:rPr>
          <w:b/>
        </w:rPr>
      </w:r>
      <w:r>
        <w:rPr>
          <w:b/>
        </w:rPr>
      </w:r>
    </w:p>
    <w:p>
      <w:pPr>
        <w:pageBreakBefore w:val="false"/>
        <w:pBdr/>
        <w:spacing/>
        <w:ind w:firstLine="0" w:left="720"/>
        <w:rPr>
          <w:b/>
        </w:rPr>
      </w:pPr>
      <w:r>
        <w:rPr>
          <w:rtl w:val="0"/>
        </w:rPr>
        <w:t xml:space="preserve">TechLit Africa builds computer labs in rural African schools. Zawadi has partnered with TechLit in the past. In July - December 2019, TechLit hosted computer sessions at Zawadi. During this time they taught over 1200 children the fundamentals of</w:t>
      </w:r>
      <w:r>
        <w:rPr>
          <w:rtl w:val="0"/>
        </w:rPr>
        <w:t xml:space="preserve"> computers. Zawadi provided the facility free of charge. While running the programs, TechLit was greatly limited by the space available in the facility.  Zawadi is excited to continue this partnership and hopes to lease the entire second floor to TechLit. </w:t>
      </w:r>
      <w:r>
        <w:rPr>
          <w:b/>
        </w:rPr>
      </w:r>
      <w:r>
        <w:rPr>
          <w:b/>
        </w:rPr>
      </w:r>
    </w:p>
    <w:p>
      <w:pPr>
        <w:pageBreakBefore w:val="false"/>
        <w:numPr>
          <w:ilvl w:val="0"/>
          <w:numId w:val="3"/>
        </w:numPr>
        <w:pBdr/>
        <w:spacing/>
        <w:ind w:hanging="360" w:left="720"/>
        <w:rPr/>
      </w:pPr>
      <w:r>
        <w:rPr>
          <w:b/>
          <w:rtl w:val="0"/>
        </w:rPr>
        <w:t xml:space="preserve">Read Across Africa: Put a book in the hand of every child</w:t>
        <w:br/>
      </w:r>
      <w:r>
        <w:rPr>
          <w:rtl w:val="0"/>
        </w:rPr>
        <w:t xml:space="preserve">Read Across Africa builds libraries in Africa. Zawadi could lease out the third floor to Read Across Africa for the library and adult literacy classes.</w:t>
      </w:r>
      <w:r/>
      <w:r>
        <w:rPr>
          <w:rtl w:val="0"/>
        </w:rPr>
      </w:r>
      <w:r/>
      <w:r/>
    </w:p>
    <w:p>
      <w:pPr>
        <w:pageBreakBefore w:val="false"/>
        <w:numPr>
          <w:ilvl w:val="0"/>
          <w:numId w:val="3"/>
        </w:numPr>
        <w:pBdr/>
        <w:spacing/>
        <w:ind w:hanging="360" w:left="720"/>
        <w:rPr/>
      </w:pPr>
      <w:r>
        <w:rPr>
          <w:b/>
          <w:rtl w:val="0"/>
        </w:rPr>
        <w:t xml:space="preserve">Neema Project: End the cycle of poverty</w:t>
      </w:r>
      <w:r>
        <w:rPr>
          <w:rtl w:val="0"/>
        </w:rPr>
        <w:br/>
        <w:t xml:space="preserve">Neema is designed for young women with limited education. There are few emplo</w:t>
      </w:r>
      <w:r>
        <w:rPr>
          <w:rtl w:val="0"/>
        </w:rPr>
        <w:t xml:space="preserve">yment opportunities in rural Kenya  for those without education or specialized training in a skill. While extreme poverty and other life situations prevent them from receiving a traditional education, Neema provides them with professional training in tailo</w:t>
      </w:r>
      <w:r>
        <w:rPr>
          <w:rtl w:val="0"/>
        </w:rPr>
        <w:t xml:space="preserve">ring, dressmaking, and embroidery. Their hope is that each young woman graduates with a useful trade that can provide her with dignified work. Neema works closely with both the Zawadi and TechLit missions to provide trade skills and community empowerment. </w:t>
      </w:r>
      <w:r/>
      <w:r>
        <w:rPr>
          <w:rtl w:val="0"/>
        </w:rPr>
      </w:r>
      <w:r>
        <w:rPr>
          <w:color w:val="1c4587"/>
          <w:sz w:val="32"/>
          <w:szCs w:val="32"/>
        </w:rPr>
      </w:r>
      <w:r>
        <w:rPr>
          <w:color w:val="1c4587"/>
          <w:sz w:val="32"/>
          <w:szCs w:val="32"/>
        </w:rPr>
      </w:r>
      <w:r/>
    </w:p>
    <w:p>
      <w:pPr>
        <w:pageBreakBefore w:val="false"/>
        <w:pBdr/>
        <w:spacing/>
        <w:ind/>
        <w:rPr>
          <w:color w:val="1c4587"/>
          <w:sz w:val="32"/>
          <w:szCs w:val="32"/>
        </w:rPr>
      </w:pPr>
      <w:r>
        <w:rPr>
          <w:color w:val="1c4587"/>
          <w:sz w:val="32"/>
          <w:szCs w:val="32"/>
          <w:rtl w:val="0"/>
        </w:rPr>
        <w:t xml:space="preserve">3. Fundraising to build the campus</w:t>
      </w:r>
      <w:r>
        <w:rPr>
          <w:color w:val="1c4587"/>
          <w:sz w:val="32"/>
          <w:szCs w:val="32"/>
        </w:rPr>
      </w:r>
      <w:r>
        <w:rPr>
          <w:color w:val="1c4587"/>
          <w:sz w:val="32"/>
          <w:szCs w:val="32"/>
        </w:rPr>
      </w:r>
    </w:p>
    <w:p>
      <w:pPr>
        <w:pageBreakBefore w:val="false"/>
        <w:pBdr/>
        <w:spacing/>
        <w:ind/>
        <w:rPr/>
      </w:pPr>
      <w:r>
        <w:rPr>
          <w:rtl w:val="0"/>
        </w:rPr>
        <w:t xml:space="preserve">TechLit will fundraise for the second floor. The es</w:t>
      </w:r>
      <w:r>
        <w:rPr>
          <w:rtl w:val="0"/>
        </w:rPr>
        <w:t xml:space="preserve">timated budget is $60,000. Some of the fundraising avenues are a social media campaign, Outreach to Augustana College alumni, members of Trinity Lutheran Church, Moline, Illinois (who supported Nelly during her college years)  and peer-to-peer fundraising.</w:t>
      </w:r>
      <w:r/>
      <w:r>
        <w:rPr>
          <w:rtl w:val="0"/>
        </w:rPr>
      </w:r>
      <w:r/>
      <w:r/>
      <w:r>
        <w:rPr>
          <w:rtl w:val="0"/>
        </w:rPr>
      </w:r>
      <w:r/>
      <w:r/>
    </w:p>
    <w:p>
      <w:pPr>
        <w:pageBreakBefore w:val="false"/>
        <w:pBdr/>
        <w:spacing/>
        <w:ind/>
        <w:rPr>
          <w:color w:val="1c4587"/>
          <w:sz w:val="32"/>
          <w:szCs w:val="32"/>
        </w:rPr>
      </w:pPr>
      <w:r>
        <w:rPr>
          <w:color w:val="1c4587"/>
          <w:sz w:val="32"/>
          <w:szCs w:val="32"/>
          <w:rtl w:val="0"/>
        </w:rPr>
        <w:t xml:space="preserve">4. Banking and financial details</w:t>
      </w:r>
      <w:r>
        <w:rPr>
          <w:color w:val="1c4587"/>
          <w:sz w:val="32"/>
          <w:szCs w:val="32"/>
        </w:rPr>
      </w:r>
      <w:r>
        <w:rPr>
          <w:color w:val="1c4587"/>
          <w:sz w:val="32"/>
          <w:szCs w:val="32"/>
        </w:rPr>
      </w:r>
    </w:p>
    <w:p>
      <w:pPr>
        <w:pageBreakBefore w:val="false"/>
        <w:pBdr/>
        <w:spacing/>
        <w:ind/>
        <w:rPr/>
      </w:pPr>
      <w:r>
        <w:rPr>
          <w:rtl w:val="0"/>
        </w:rPr>
        <w:t xml:space="preserve">TechLit will create a separate account at Resource Bank in Shabonna, IL, where funds designated for the campus will be deposited. Money from this account will be</w:t>
      </w:r>
      <w:r>
        <w:rPr>
          <w:rtl w:val="0"/>
        </w:rPr>
        <w:t xml:space="preserve"> used solely for construction costs of the second floor.  TechLit will have signature authority over the account and disbursements from Resource Bank to Zawadi’s account at KCB Bank in Kenya will require approval of the TechLit board prior to disbursement.</w:t>
      </w:r>
      <w:r/>
    </w:p>
    <w:p>
      <w:pPr>
        <w:pageBreakBefore w:val="false"/>
        <w:pBdr/>
        <w:spacing/>
        <w:ind/>
        <w:rPr>
          <w:color w:val="1c4587"/>
          <w:sz w:val="32"/>
          <w:szCs w:val="32"/>
        </w:rPr>
      </w:pPr>
      <w:r>
        <w:rPr>
          <w:color w:val="1c4587"/>
          <w:sz w:val="32"/>
          <w:szCs w:val="32"/>
          <w:rtl w:val="0"/>
        </w:rPr>
        <w:t xml:space="preserve">5. Financials</w:t>
      </w:r>
      <w:r>
        <w:rPr>
          <w:color w:val="1c4587"/>
          <w:sz w:val="32"/>
          <w:szCs w:val="32"/>
        </w:rPr>
      </w:r>
      <w:r>
        <w:rPr>
          <w:color w:val="1c4587"/>
          <w:sz w:val="32"/>
          <w:szCs w:val="32"/>
        </w:rPr>
      </w:r>
    </w:p>
    <w:p>
      <w:pPr>
        <w:pageBreakBefore w:val="false"/>
        <w:pBdr/>
        <w:spacing/>
        <w:ind/>
        <w:rPr>
          <w:color w:val="1c4587"/>
          <w:sz w:val="32"/>
          <w:szCs w:val="32"/>
        </w:rPr>
      </w:pPr>
      <w:r>
        <w:rPr>
          <w:rtl w:val="0"/>
        </w:rPr>
        <w:t xml:space="preserve">Zawadi will provide a budget for the building. Once the budget has been approved by both TechLit and Zawadi, TechLit will provide an agreed upon deposit to start </w:t>
      </w:r>
      <w:r>
        <w:rPr>
          <w:rtl w:val="0"/>
        </w:rPr>
        <w:t xml:space="preserve">construction, which will then be accounted for through invoices from Zawadi.  Zawadi will invoice TechLit on a monthly basis for the further costs of construction. Zawadi will provide 100% transparency of what the money was used for,  backed by receipts an</w:t>
      </w:r>
      <w:r>
        <w:rPr>
          <w:rtl w:val="0"/>
        </w:rPr>
        <w:t xml:space="preserve">d dates.   Post completion, Zawadi will have title to the building and assume all of the risks, liabilities and expenses of operating the property, unless otherwise agreed to in the long term leases to be negotiated with TechLit and/or other third parties.</w:t>
      </w:r>
      <w:r>
        <w:rPr>
          <w:color w:val="1c4587"/>
          <w:sz w:val="32"/>
          <w:szCs w:val="32"/>
        </w:rPr>
      </w:r>
      <w:r>
        <w:rPr>
          <w:color w:val="1c4587"/>
          <w:sz w:val="32"/>
          <w:szCs w:val="32"/>
        </w:rPr>
      </w:r>
    </w:p>
    <w:p>
      <w:pPr>
        <w:pStyle w:val="911"/>
        <w:pageBreakBefore w:val="false"/>
        <w:pBdr>
          <w:top w:val="none" w:color="000000" w:sz="0" w:space="0"/>
          <w:left w:val="none" w:color="000000" w:sz="0" w:space="0"/>
          <w:bottom w:val="none" w:color="000000" w:sz="0" w:space="0"/>
          <w:right w:val="none" w:color="000000" w:sz="0" w:space="0"/>
          <w:between w:val="none" w:color="000000" w:sz="0" w:space="0"/>
        </w:pBdr>
        <w:spacing/>
        <w:ind/>
        <w:rPr/>
      </w:pPr>
      <w:r/>
      <w:bookmarkStart w:id="11" w:name="_urq428z790jz"/>
      <w:r/>
      <w:bookmarkEnd w:id="11"/>
      <w:r>
        <w:rPr>
          <w:rtl w:val="0"/>
        </w:rPr>
        <w:t xml:space="preserve">General Conditions</w:t>
      </w:r>
      <w:r/>
    </w:p>
    <w:p>
      <w:pPr>
        <w:pageBreakBefore w:val="false"/>
        <w:pBdr/>
        <w:spacing/>
        <w:ind/>
        <w:rPr/>
      </w:pPr>
      <w:r>
        <w:rPr>
          <w:rtl w:val="0"/>
        </w:rPr>
        <w:t xml:space="preserve">All amendments and/or modifications of this MOU shall be made in writing and pre-approved by both parties.  </w:t>
      </w:r>
      <w:r/>
    </w:p>
    <w:p>
      <w:pPr>
        <w:pageBreakBefore w:val="false"/>
        <w:pBdr/>
        <w:spacing/>
        <w:ind/>
        <w:rPr/>
      </w:pPr>
      <w:r>
        <w:rPr>
          <w:rtl w:val="0"/>
        </w:rPr>
        <w:t xml:space="preserve">Nothing contained in this MOU shall be deemed to preclude either party from entering into separate agreements and partnerships with each other or other organization on any subject matter. </w:t>
      </w:r>
      <w:r/>
    </w:p>
    <w:p>
      <w:pPr>
        <w:pageBreakBefore w:val="false"/>
        <w:pBdr/>
        <w:spacing/>
        <w:ind/>
        <w:rPr/>
      </w:pPr>
      <w:r>
        <w:rPr>
          <w:rtl w:val="0"/>
        </w:rPr>
        <w:t xml:space="preserve">It is the intention of the parties to formalize this MOU into a legally binding contract prior to the transfer of funds from TechLit to Zawadi. </w:t>
      </w:r>
      <w:r/>
    </w:p>
    <w:p>
      <w:pPr>
        <w:pageBreakBefore w:val="false"/>
        <w:pBdr/>
        <w:spacing/>
        <w:ind/>
        <w:rPr/>
      </w:pPr>
      <w:r>
        <w:rPr>
          <w:rtl w:val="0"/>
        </w:rPr>
        <w:t xml:space="preserve">The products developed by either party and the mailing lists of each party remain the property of that party and subject to the conditions set by the owner. </w:t>
      </w:r>
      <w:r/>
    </w:p>
    <w:p>
      <w:pPr>
        <w:pageBreakBefore w:val="false"/>
        <w:pBdr/>
        <w:spacing/>
        <w:ind/>
        <w:rPr/>
      </w:pPr>
      <w:r>
        <w:rPr>
          <w:rtl w:val="0"/>
        </w:rPr>
        <w:t xml:space="preserve">Both parties agree that anything that the other party asks to be kept confidential will be kept confidential. </w:t>
      </w:r>
      <w:r/>
    </w:p>
    <w:p>
      <w:pPr>
        <w:pageBreakBefore w:val="false"/>
        <w:pBdr/>
        <w:spacing/>
        <w:ind/>
        <w:rPr/>
      </w:pPr>
      <w:r>
        <w:rPr>
          <w:rtl w:val="0"/>
        </w:rPr>
        <w:t xml:space="preserve">Each party shall be solely responsible for its employees, their wages, social benefits, health insurance, etc. and in no way shall one party's employees, contractors or affiliates be deemed employees of the other party to this MOU.   </w:t>
      </w:r>
      <w:r/>
    </w:p>
    <w:p>
      <w:pPr>
        <w:pageBreakBefore w:val="false"/>
        <w:pBdr/>
        <w:spacing/>
        <w:ind/>
        <w:rPr>
          <w:rFonts w:ascii="Arial" w:hAnsi="Arial" w:eastAsia="Arial" w:cs="Arial"/>
          <w:color w:val="000000"/>
        </w:rPr>
      </w:pPr>
      <w:r>
        <w:rPr>
          <w:rtl w:val="0"/>
        </w:rPr>
        <w:t xml:space="preserve">Neither party shall be entitled to represent the other in relation to any third party, unless such representation has been approved in advance and in writing for a specific given purpose.  </w:t>
      </w:r>
      <w:r>
        <w:rPr>
          <w:rFonts w:ascii="Arial" w:hAnsi="Arial" w:eastAsia="Arial" w:cs="Arial"/>
          <w:color w:val="000000"/>
        </w:rPr>
      </w:r>
      <w:r>
        <w:rPr>
          <w:rFonts w:ascii="Arial" w:hAnsi="Arial" w:eastAsia="Arial" w:cs="Arial"/>
          <w:color w:val="000000"/>
        </w:rPr>
      </w:r>
    </w:p>
    <w:p>
      <w:pPr>
        <w:pStyle w:val="911"/>
        <w:pageBreakBefore w:val="false"/>
        <w:pBdr>
          <w:top w:val="none" w:color="000000" w:sz="0" w:space="0"/>
          <w:left w:val="none" w:color="000000" w:sz="0" w:space="0"/>
          <w:bottom w:val="none" w:color="000000" w:sz="0" w:space="0"/>
          <w:right w:val="none" w:color="000000" w:sz="0" w:space="0"/>
          <w:between w:val="none" w:color="000000" w:sz="0" w:space="0"/>
        </w:pBdr>
        <w:spacing/>
        <w:ind/>
        <w:rPr/>
      </w:pPr>
      <w:r/>
      <w:bookmarkStart w:id="12" w:name="_ovsfjg1gwqq3"/>
      <w:r/>
      <w:bookmarkEnd w:id="12"/>
      <w:r>
        <w:rPr>
          <w:rtl w:val="0"/>
        </w:rPr>
        <w:t xml:space="preserve">Termination and Non-Renewal</w:t>
      </w:r>
      <w:r/>
    </w:p>
    <w:p>
      <w:pPr>
        <w:pageBreakBefore w:val="false"/>
        <w:pBdr/>
        <w:spacing/>
        <w:ind/>
        <w:rPr>
          <w:rFonts w:ascii="Arial" w:hAnsi="Arial" w:eastAsia="Arial" w:cs="Arial"/>
          <w:color w:val="000000"/>
        </w:rPr>
      </w:pPr>
      <w:r>
        <w:rPr>
          <w:rtl w:val="0"/>
        </w:rPr>
        <w:t xml:space="preserve">Termination of this MOU may occur if one of the parties perceives the other as taking action that may damage the reputation of the other. </w:t>
      </w:r>
      <w:r>
        <w:rPr>
          <w:rFonts w:ascii="Arial" w:hAnsi="Arial" w:eastAsia="Arial" w:cs="Arial"/>
          <w:color w:val="000000"/>
        </w:rPr>
      </w:r>
      <w:r>
        <w:rPr>
          <w:rFonts w:ascii="Arial" w:hAnsi="Arial" w:eastAsia="Arial" w:cs="Arial"/>
          <w:color w:val="000000"/>
        </w:rPr>
      </w:r>
    </w:p>
    <w:p>
      <w:pPr>
        <w:pageBreakBefore w:val="false"/>
        <w:pBdr/>
        <w:spacing/>
        <w:ind/>
        <w:rPr>
          <w:rFonts w:ascii="Arial" w:hAnsi="Arial" w:eastAsia="Arial" w:cs="Arial"/>
          <w:color w:val="000000"/>
        </w:rPr>
      </w:pPr>
      <w:r>
        <w:rPr>
          <w:rtl w:val="0"/>
        </w:rPr>
        <w:t xml:space="preserve">Non-renewal of this MOU will not affect the validity of any separate Pr</w:t>
      </w:r>
      <w:r>
        <w:rPr>
          <w:rtl w:val="0"/>
        </w:rPr>
        <w:t xml:space="preserve">oject Agreement executed by the parties prior to the effective date of termination of the MOU.  Any dispute arising out of this MOU regarding its validity, interpretation, performance, Project Agreements or non-renewal shall be resolved under Kenyan law.  </w:t>
      </w:r>
      <w:r>
        <w:rPr>
          <w:rFonts w:ascii="Arial" w:hAnsi="Arial" w:eastAsia="Arial" w:cs="Arial"/>
          <w:color w:val="000000"/>
        </w:rPr>
      </w:r>
      <w:r>
        <w:rPr>
          <w:rFonts w:ascii="Arial" w:hAnsi="Arial" w:eastAsia="Arial" w:cs="Arial"/>
          <w:color w:val="000000"/>
        </w:rPr>
      </w:r>
    </w:p>
    <w:p>
      <w:pPr>
        <w:pStyle w:val="911"/>
        <w:pageBreakBefore w:val="false"/>
        <w:pBdr>
          <w:top w:val="none" w:color="000000" w:sz="0" w:space="0"/>
          <w:left w:val="none" w:color="000000" w:sz="0" w:space="0"/>
          <w:bottom w:val="none" w:color="000000" w:sz="0" w:space="0"/>
          <w:right w:val="none" w:color="000000" w:sz="0" w:space="0"/>
          <w:between w:val="none" w:color="000000" w:sz="0" w:space="0"/>
        </w:pBdr>
        <w:spacing/>
        <w:ind/>
        <w:rPr/>
      </w:pPr>
      <w:r/>
      <w:bookmarkStart w:id="13" w:name="_ec03309j7lyt"/>
      <w:r/>
      <w:bookmarkEnd w:id="13"/>
      <w:r>
        <w:rPr>
          <w:rtl w:val="0"/>
        </w:rPr>
        <w:t xml:space="preserve">Dates</w:t>
      </w:r>
      <w:r/>
    </w:p>
    <w:p>
      <w:pPr>
        <w:pageBreakBefore w:val="false"/>
        <w:pBdr/>
        <w:spacing/>
        <w:ind/>
        <w:rPr>
          <w:rFonts w:ascii="Arial" w:hAnsi="Arial" w:eastAsia="Arial" w:cs="Arial"/>
          <w:color w:val="000000"/>
        </w:rPr>
      </w:pPr>
      <w:r>
        <w:rPr>
          <w:rtl w:val="0"/>
        </w:rPr>
        <w:t xml:space="preserve">This MOU will be effective as soon as the two parties sign it and for a period of one year.  It may then  be amended and extended further for one-year periods by mutual agreement. </w:t>
      </w:r>
      <w:r>
        <w:rPr>
          <w:rFonts w:ascii="Arial" w:hAnsi="Arial" w:eastAsia="Arial" w:cs="Arial"/>
          <w:color w:val="000000"/>
        </w:rPr>
      </w:r>
      <w:r>
        <w:rPr>
          <w:rFonts w:ascii="Arial" w:hAnsi="Arial" w:eastAsia="Arial" w:cs="Arial"/>
          <w:color w:val="000000"/>
        </w:rPr>
      </w:r>
    </w:p>
    <w:p>
      <w:pPr>
        <w:pStyle w:val="911"/>
        <w:pageBreakBefore w:val="false"/>
        <w:pBdr>
          <w:top w:val="none" w:color="000000" w:sz="0" w:space="0"/>
          <w:left w:val="none" w:color="000000" w:sz="0" w:space="0"/>
          <w:bottom w:val="none" w:color="000000" w:sz="0" w:space="0"/>
          <w:right w:val="none" w:color="000000" w:sz="0" w:space="0"/>
          <w:between w:val="none" w:color="000000" w:sz="0" w:space="0"/>
        </w:pBdr>
        <w:spacing/>
        <w:ind/>
        <w:rPr/>
      </w:pPr>
      <w:r/>
      <w:bookmarkStart w:id="14" w:name="_lfv0kalsxl7d"/>
      <w:r/>
      <w:bookmarkEnd w:id="14"/>
      <w:r>
        <w:rPr>
          <w:rtl w:val="0"/>
        </w:rPr>
        <w:t xml:space="preserve">Signatures</w:t>
      </w:r>
      <w:r/>
    </w:p>
    <w:p>
      <w:pPr>
        <w:pageBreakBefore w:val="false"/>
        <w:pBdr/>
        <w:spacing/>
        <w:ind/>
        <w:rPr/>
      </w:pPr>
      <w:r>
        <w:rPr>
          <w:rtl w:val="0"/>
        </w:rPr>
        <w:t xml:space="preserve">The signatures below represent confirmation by the respective organizations' governing Boards of Directors. </w:t>
      </w:r>
      <w:r/>
    </w:p>
    <w:p>
      <w:pPr>
        <w:pageBreakBefore w:val="false"/>
        <w:pBdr/>
        <w:spacing/>
        <w:ind/>
        <w:rPr/>
      </w:pPr>
      <w:r>
        <w:rPr>
          <w:rtl w:val="0"/>
        </w:rPr>
      </w:r>
      <w:r/>
    </w:p>
    <w:tbl>
      <w:tblPr>
        <w:tblStyle w:val="919"/>
        <w:tblW w:w="9360" w:type="dxa"/>
        <w:tblBorders/>
        <w:tblLayout w:type="fixed"/>
        <w:tblLook w:val="0600" w:firstRow="0" w:lastRow="0" w:firstColumn="0" w:lastColumn="0" w:noHBand="1" w:noVBand="1"/>
      </w:tblPr>
      <w:tblGrid>
        <w:gridCol w:w="4680"/>
        <w:gridCol w:w="4680"/>
        <w:tblGridChange w:id="0">
          <w:tblGrid>
            <w:gridCol w:w="4680"/>
            <w:gridCol w:w="4680"/>
          </w:tblGrid>
        </w:tblGridChange>
      </w:tblGrid>
      <w:tr>
        <w:trPr>
          <w:cantSplit w:val="false"/>
        </w:trPr>
        <w:tc>
          <w:tcPr>
            <w:shd w:val="clear" w:color="auto" w:fill="auto"/>
            <w:tcBorders/>
            <w:tcMar>
              <w:left w:w="100" w:type="dxa"/>
              <w:top w:w="100" w:type="dxa"/>
              <w:right w:w="100" w:type="dxa"/>
              <w:bottom w:w="100" w:type="dxa"/>
            </w:tcMar>
            <w:vAlign w:val="top"/>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sz w:val="18"/>
                <w:szCs w:val="18"/>
                <w:rtl w:val="0"/>
              </w:rPr>
              <w:t xml:space="preserve">Date signed: </w:t>
            </w:r>
            <w:r>
              <w:rPr>
                <w:rtl w:val="0"/>
              </w:rPr>
            </w: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sz w:val="36"/>
                <w:szCs w:val="36"/>
              </w:rPr>
            </w:pPr>
            <w:r>
              <w:rPr>
                <w:rtl w:val="0"/>
              </w:rPr>
            </w:r>
            <w:r>
              <w:rPr>
                <w:sz w:val="36"/>
                <w:szCs w:val="36"/>
              </w:rPr>
            </w:r>
            <w:r>
              <w:rPr>
                <w:sz w:val="36"/>
                <w:szCs w:val="36"/>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sz w:val="36"/>
                <w:szCs w:val="36"/>
              </w:rPr>
            </w:pPr>
            <w:r>
              <w:rPr>
                <w:sz w:val="36"/>
                <w:szCs w:val="36"/>
                <w:rtl w:val="0"/>
              </w:rPr>
              <w:t xml:space="preserve">Nelly Cheboi</w:t>
            </w:r>
            <w:r>
              <w:rPr>
                <w:sz w:val="36"/>
                <w:szCs w:val="36"/>
              </w:rPr>
            </w:r>
            <w:r>
              <w:rPr>
                <w:sz w:val="36"/>
                <w:szCs w:val="36"/>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i/>
                <w:sz w:val="28"/>
                <w:szCs w:val="28"/>
              </w:rPr>
            </w:pPr>
            <w:r>
              <w:rPr>
                <w:i/>
                <w:sz w:val="28"/>
                <w:szCs w:val="28"/>
                <w:rtl w:val="0"/>
              </w:rPr>
              <w:t xml:space="preserve">President</w:t>
            </w:r>
            <w:r>
              <w:rPr>
                <w:i/>
                <w:sz w:val="28"/>
                <w:szCs w:val="28"/>
              </w:rPr>
            </w:r>
            <w:r>
              <w:rPr>
                <w:i/>
                <w:sz w:val="28"/>
                <w:szCs w:val="28"/>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i/>
                <w:sz w:val="28"/>
                <w:szCs w:val="28"/>
              </w:rPr>
            </w:pPr>
            <w:r>
              <w:rPr>
                <w:i/>
                <w:sz w:val="28"/>
                <w:szCs w:val="28"/>
                <w:rtl w:val="0"/>
              </w:rPr>
              <w:t xml:space="preserve">Zawadi Prep CBC</w:t>
            </w:r>
            <w:r>
              <w:rPr>
                <w:i/>
                <w:sz w:val="28"/>
                <w:szCs w:val="28"/>
              </w:rPr>
            </w:r>
            <w:r>
              <w:rPr>
                <w:i/>
                <w:sz w:val="28"/>
                <w:szCs w:val="28"/>
              </w:rPr>
            </w:r>
          </w:p>
        </w:tc>
        <w:tc>
          <w:tcPr>
            <w:shd w:val="clear" w:color="auto" w:fill="auto"/>
            <w:tcBorders/>
            <w:tcMar>
              <w:left w:w="100" w:type="dxa"/>
              <w:top w:w="100" w:type="dxa"/>
              <w:right w:w="100" w:type="dxa"/>
              <w:bottom w:w="100" w:type="dxa"/>
            </w:tcMar>
            <w:vAlign w:val="top"/>
            <w:textDirection w:val="lrTb"/>
            <w:noWrap w:val="false"/>
          </w:tcPr>
          <w:p>
            <w:pPr>
              <w:pageBreakBefore w:val="false"/>
              <w:widowControl w:val="false"/>
              <w:pBdr/>
              <w:spacing w:after="0" w:line="240" w:lineRule="auto"/>
              <w:ind/>
              <w:rPr/>
            </w:pPr>
            <w:r>
              <w:rPr>
                <w:sz w:val="18"/>
                <w:szCs w:val="18"/>
                <w:rtl w:val="0"/>
              </w:rPr>
              <w:t xml:space="preserve">Date signed:  </w:t>
            </w:r>
            <w:r>
              <w:rPr>
                <w:rtl w:val="0"/>
              </w:rPr>
            </w:r>
            <w:r/>
          </w:p>
          <w:p>
            <w:pPr>
              <w:pageBreakBefore w:val="false"/>
              <w:widowControl w:val="false"/>
              <w:pBdr/>
              <w:spacing w:after="0" w:line="240" w:lineRule="auto"/>
              <w:ind/>
              <w:rPr/>
            </w:pPr>
            <w:r>
              <w:rPr>
                <w:rtl w:val="0"/>
              </w:rPr>
            </w:r>
            <w:r/>
          </w:p>
          <w:p>
            <w:pPr>
              <w:pageBreakBefore w:val="false"/>
              <w:widowControl w:val="false"/>
              <w:pBdr/>
              <w:spacing w:after="0" w:line="240" w:lineRule="auto"/>
              <w:ind/>
              <w:rPr/>
            </w:pPr>
            <w:r>
              <w:rPr>
                <w:rtl w:val="0"/>
              </w:rPr>
            </w:r>
            <w:r/>
          </w:p>
          <w:p>
            <w:pPr>
              <w:pageBreakBefore w:val="false"/>
              <w:widowControl w:val="false"/>
              <w:pBdr/>
              <w:spacing w:after="0" w:line="240" w:lineRule="auto"/>
              <w:ind/>
              <w:rPr>
                <w:sz w:val="36"/>
                <w:szCs w:val="36"/>
              </w:rPr>
            </w:pPr>
            <w:r>
              <w:rPr>
                <w:rtl w:val="0"/>
              </w:rPr>
            </w:r>
            <w:r>
              <w:rPr>
                <w:sz w:val="36"/>
                <w:szCs w:val="36"/>
              </w:rPr>
            </w:r>
            <w:r>
              <w:rPr>
                <w:sz w:val="36"/>
                <w:szCs w:val="36"/>
              </w:rPr>
            </w:r>
          </w:p>
          <w:p>
            <w:pPr>
              <w:pageBreakBefore w:val="false"/>
              <w:widowControl w:val="false"/>
              <w:pBdr/>
              <w:spacing w:after="0" w:line="240" w:lineRule="auto"/>
              <w:ind/>
              <w:rPr>
                <w:sz w:val="36"/>
                <w:szCs w:val="36"/>
              </w:rPr>
            </w:pPr>
            <w:r>
              <w:rPr>
                <w:sz w:val="36"/>
                <w:szCs w:val="36"/>
                <w:rtl w:val="0"/>
              </w:rPr>
              <w:t xml:space="preserve">[Redacted]</w:t>
            </w:r>
            <w:r>
              <w:rPr>
                <w:sz w:val="36"/>
                <w:szCs w:val="36"/>
              </w:rPr>
            </w:r>
            <w:r>
              <w:rPr>
                <w:sz w:val="36"/>
                <w:szCs w:val="36"/>
              </w:rPr>
            </w:r>
          </w:p>
          <w:p>
            <w:pPr>
              <w:pageBreakBefore w:val="false"/>
              <w:widowControl w:val="false"/>
              <w:pBdr/>
              <w:spacing w:after="0" w:line="240" w:lineRule="auto"/>
              <w:ind/>
              <w:rPr>
                <w:i/>
                <w:sz w:val="28"/>
                <w:szCs w:val="28"/>
              </w:rPr>
            </w:pPr>
            <w:r>
              <w:rPr>
                <w:i/>
                <w:sz w:val="28"/>
                <w:szCs w:val="28"/>
                <w:rtl w:val="0"/>
              </w:rPr>
              <w:t xml:space="preserve">Secretary</w:t>
            </w:r>
            <w:r>
              <w:rPr>
                <w:i/>
                <w:sz w:val="28"/>
                <w:szCs w:val="28"/>
              </w:rPr>
            </w:r>
            <w:r>
              <w:rPr>
                <w:i/>
                <w:sz w:val="28"/>
                <w:szCs w:val="28"/>
              </w:rPr>
            </w:r>
          </w:p>
          <w:p>
            <w:pPr>
              <w:pageBreakBefore w:val="false"/>
              <w:widowControl w:val="false"/>
              <w:pBdr/>
              <w:spacing w:after="0" w:line="240" w:lineRule="auto"/>
              <w:ind/>
              <w:rPr>
                <w:i/>
                <w:sz w:val="28"/>
                <w:szCs w:val="28"/>
              </w:rPr>
            </w:pPr>
            <w:r>
              <w:rPr>
                <w:i/>
                <w:sz w:val="28"/>
                <w:szCs w:val="28"/>
                <w:rtl w:val="0"/>
              </w:rPr>
              <w:t xml:space="preserve">TechLit Africa</w:t>
            </w:r>
            <w:r>
              <w:rPr>
                <w:i/>
                <w:sz w:val="28"/>
                <w:szCs w:val="28"/>
              </w:rPr>
            </w:r>
            <w:r>
              <w:rPr>
                <w:i/>
                <w:sz w:val="28"/>
                <w:szCs w:val="28"/>
              </w:rPr>
            </w:r>
          </w:p>
        </w:tc>
      </w:tr>
    </w:tbl>
    <w:p>
      <w:pPr>
        <w:pStyle w:val="912"/>
        <w:pageBreakBefore w:val="false"/>
        <w:pBdr/>
        <w:spacing/>
        <w:ind/>
        <w:rPr/>
      </w:pPr>
      <w:r/>
      <w:bookmarkStart w:id="15" w:name="_8chram354hib"/>
      <w:r/>
      <w:bookmarkEnd w:id="15"/>
      <w:r>
        <w:rPr>
          <w:rtl w:val="0"/>
        </w:rPr>
      </w:r>
      <w:r/>
    </w:p>
    <w:sectPr>
      <w:headerReference w:type="default" r:id="rId9"/>
      <w:footerReference w:type="default" r:id="rId10"/>
      <w:footnotePr/>
      <w:endnotePr/>
      <w:type w:val="nextPage"/>
      <w:pgSz w:h="15840" w:orient="portrait" w:w="12240"/>
      <w:pgMar w:top="720" w:right="1440" w:bottom="1440" w:left="1440" w:header="288" w:footer="288"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mbria">
    <w:panose1 w:val="02040503050406030204"/>
  </w:font>
  <w:font w:name="Calibri">
    <w:panose1 w:val="020F050202020403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ageBreakBefore w:val="false"/>
      <w:pBdr/>
      <w:spacing/>
      <w:ind/>
      <w:rPr>
        <w:sz w:val="2"/>
        <w:szCs w:val="2"/>
      </w:rPr>
    </w:pPr>
    <w:r>
      <w:rPr>
        <w:rtl w:val="0"/>
      </w:rPr>
    </w:r>
    <w:r>
      <w:rPr>
        <w:sz w:val="2"/>
        <w:szCs w:val="2"/>
      </w:rPr>
    </w:r>
    <w:r>
      <w:rPr>
        <w:sz w:val="2"/>
        <w:szCs w:val="2"/>
      </w:rPr>
    </w:r>
  </w:p>
  <w:tbl>
    <w:tblPr>
      <w:tblStyle w:val="920"/>
      <w:tblW w:w="9360" w:type="dxa"/>
      <w:jc w:val="center"/>
      <w:tblBorders/>
      <w:tblLayout w:type="fixed"/>
      <w:tblLook w:val="0600" w:firstRow="0" w:lastRow="0" w:firstColumn="0" w:lastColumn="0" w:noHBand="1" w:noVBand="1"/>
    </w:tblPr>
    <w:tblGrid>
      <w:gridCol w:w="4680"/>
      <w:gridCol w:w="4680"/>
      <w:tblGridChange w:id="1">
        <w:tblGrid>
          <w:gridCol w:w="4680"/>
          <w:gridCol w:w="4680"/>
        </w:tblGrid>
      </w:tblGridChange>
    </w:tblGrid>
    <w:tr>
      <w:trPr>
        <w:cantSplit w:val="false"/>
      </w:trPr>
      <w:tc>
        <w:tcPr>
          <w:shd w:val="clear" w:color="auto" w:fill="auto"/>
          <w:tcBorders/>
          <w:tcMar>
            <w:left w:w="0" w:type="dxa"/>
            <w:top w:w="0" w:type="dxa"/>
            <w:right w:w="0" w:type="dxa"/>
            <w:bottom w:w="0" w:type="dxa"/>
          </w:tcMar>
          <w:vAlign w:val="top"/>
          <w:textDirection w:val="lrTb"/>
          <w:noWrap w:val="false"/>
        </w:tcPr>
        <w:p>
          <w:pPr>
            <w:pageBreakBefore w:val="false"/>
            <w:widowControl w:val="false"/>
            <w:pBdr/>
            <w:spacing w:after="0" w:line="240" w:lineRule="auto"/>
            <w:ind/>
            <w:rPr>
              <w:color w:val="0c343d"/>
              <w:sz w:val="16"/>
              <w:szCs w:val="16"/>
            </w:rPr>
          </w:pPr>
          <w:r>
            <w:rPr>
              <w:color w:val="0c343d"/>
              <w:sz w:val="16"/>
              <w:szCs w:val="16"/>
              <w:rtl w:val="0"/>
            </w:rPr>
            <w:t xml:space="preserve">Memorandum of Understanding between</w:t>
          </w:r>
          <w:r>
            <w:rPr>
              <w:color w:val="0c343d"/>
              <w:sz w:val="16"/>
              <w:szCs w:val="16"/>
            </w:rPr>
          </w:r>
          <w:r>
            <w:rPr>
              <w:color w:val="0c343d"/>
              <w:sz w:val="16"/>
              <w:szCs w:val="16"/>
            </w:rPr>
          </w:r>
        </w:p>
        <w:p>
          <w:pPr>
            <w:pageBreakBefore w:val="false"/>
            <w:widowControl w:val="false"/>
            <w:pBdr/>
            <w:spacing w:after="0" w:line="240" w:lineRule="auto"/>
            <w:ind/>
            <w:rPr>
              <w:color w:val="0c343d"/>
            </w:rPr>
          </w:pPr>
          <w:r>
            <w:rPr>
              <w:color w:val="0c343d"/>
              <w:rtl w:val="0"/>
            </w:rPr>
            <w:t xml:space="preserve">Zawadi Prep CBC and TechLit Africa </w:t>
          </w:r>
          <w:r>
            <w:rPr>
              <w:color w:val="0c343d"/>
            </w:rPr>
          </w:r>
          <w:r>
            <w:rPr>
              <w:color w:val="0c343d"/>
            </w:rPr>
          </w:r>
        </w:p>
      </w:tc>
      <w:tc>
        <w:tcPr>
          <w:shd w:val="clear" w:color="auto" w:fill="auto"/>
          <w:tcBorders/>
          <w:tcMar>
            <w:left w:w="100" w:type="dxa"/>
            <w:top w:w="100" w:type="dxa"/>
            <w:right w:w="100" w:type="dxa"/>
            <w:bottom w:w="100" w:type="dxa"/>
          </w:tcMar>
          <w:vAlign w:val="top"/>
          <w:textDirection w:val="lrTb"/>
          <w:noWrap w:val="false"/>
        </w:tcPr>
        <w:p>
          <w:pPr>
            <w:pageBreakBefore w:val="false"/>
            <w:widowControl w:val="false"/>
            <w:pBdr/>
            <w:spacing w:after="0" w:line="240" w:lineRule="auto"/>
            <w:ind/>
            <w:jc w:val="right"/>
            <w:rPr>
              <w:color w:val="0c343d"/>
            </w:rPr>
          </w:pPr>
          <w:r>
            <w:rPr>
              <w:color w:val="0c343d"/>
              <w:rtl w:val="0"/>
            </w:rPr>
            <w:t xml:space="preserve">Page </w:t>
          </w:r>
          <w:r>
            <w:rPr>
              <w:color w:val="0c343d"/>
            </w:rPr>
            <w:fldChar w:fldCharType="begin"/>
            <w:instrText xml:space="preserve">PAGE</w:instrText>
            <w:fldChar w:fldCharType="separate"/>
            <w:fldChar w:fldCharType="end"/>
          </w:r>
          <w:r>
            <w:rPr>
              <w:color w:val="0c343d"/>
              <w:rtl w:val="0"/>
            </w:rPr>
            <w:t xml:space="preserve"> of </w:t>
          </w:r>
          <w:r>
            <w:rPr>
              <w:color w:val="0c343d"/>
            </w:rPr>
            <w:fldChar w:fldCharType="begin"/>
            <w:instrText xml:space="preserve">NUMPAGES</w:instrText>
            <w:fldChar w:fldCharType="separate"/>
            <w:fldChar w:fldCharType="end"/>
          </w:r>
          <w:r>
            <w:rPr>
              <w:color w:val="0c343d"/>
            </w:rPr>
          </w:r>
          <w:r>
            <w:rPr>
              <w:color w:val="0c343d"/>
            </w:rPr>
          </w:r>
        </w:p>
      </w:tc>
    </w:tr>
  </w:tbl>
  <w:p>
    <w:pPr>
      <w:pageBreakBefore w:val="false"/>
      <w:pBdr/>
      <w:spacing w:line="240" w:lineRule="auto"/>
      <w:ind/>
      <w:rPr>
        <w:sz w:val="2"/>
        <w:szCs w:val="2"/>
      </w:rPr>
    </w:pPr>
    <w:r>
      <w:rPr>
        <w:rtl w:val="0"/>
      </w:rPr>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4"/>
      <w:pBdr/>
      <w:spacing/>
      <w:ind/>
      <w:jc w:val="left"/>
      <w:rPr/>
    </w:pPr>
    <w:r/>
    <w:r/>
  </w:p>
  <w:p>
    <w:pPr>
      <w:pStyle w:val="894"/>
      <w:pBdr/>
      <w:spacing/>
      <w:ind/>
      <w:rPr/>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20"/>
      </w:pPr>
      <w:rPr>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righ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righ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right"/>
      <w:lvlText w:val="%9."/>
      <w:numFmt w:val="lowerRoman"/>
      <w:pPr>
        <w:pBdr/>
        <w:spacing/>
        <w:ind w:hanging="360" w:left="6480"/>
      </w:pPr>
      <w:rPr>
        <w:u w:val="none"/>
      </w:rPr>
      <w:start w:val="1"/>
      <w:suff w:val="tab"/>
    </w:lvl>
  </w:abstractNum>
  <w:abstractNum w:abstractNumId="1">
    <w:lvl w:ilvl="0">
      <w:isLgl w:val="false"/>
      <w:lvlJc w:val="left"/>
      <w:lvlText w:val="%1."/>
      <w:numFmt w:val="decimal"/>
      <w:pPr>
        <w:pBdr/>
        <w:spacing/>
        <w:ind w:hanging="360" w:left="720"/>
      </w:pPr>
      <w:rPr>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righ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righ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right"/>
      <w:lvlText w:val="%9."/>
      <w:numFmt w:val="lowerRoman"/>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mbria" w:hAnsi="Cambria" w:eastAsia="Cambria" w:cs="Cambria"/>
        <w:sz w:val="22"/>
        <w:szCs w:val="22"/>
        <w:lang w:val="en"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Table Grid"/>
    <w:basedOn w:val="73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Table Grid Light"/>
    <w:basedOn w:val="73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Plain Table 1"/>
    <w:basedOn w:val="73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2"/>
    <w:basedOn w:val="73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3"/>
    <w:basedOn w:val="7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4"/>
    <w:basedOn w:val="7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5"/>
    <w:basedOn w:val="7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1 Light"/>
    <w:basedOn w:val="73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 Accent 1"/>
    <w:basedOn w:val="73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1 Light - Accent 2"/>
    <w:basedOn w:val="73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1 Light - Accent 3"/>
    <w:basedOn w:val="73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1 Light - Accent 4"/>
    <w:basedOn w:val="73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1 Light - Accent 5"/>
    <w:basedOn w:val="73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1 Light - Accent 6"/>
    <w:basedOn w:val="73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2"/>
    <w:basedOn w:val="73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 Accent 1"/>
    <w:basedOn w:val="73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2 - Accent 2"/>
    <w:basedOn w:val="73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2 - Accent 3"/>
    <w:basedOn w:val="73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2 - Accent 4"/>
    <w:basedOn w:val="73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2 - Accent 5"/>
    <w:basedOn w:val="73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2 - Accent 6"/>
    <w:basedOn w:val="73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3"/>
    <w:basedOn w:val="73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 Accent 1"/>
    <w:basedOn w:val="73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3 - Accent 2"/>
    <w:basedOn w:val="73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3 - Accent 3"/>
    <w:basedOn w:val="73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3 - Accent 4"/>
    <w:basedOn w:val="73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3 - Accent 5"/>
    <w:basedOn w:val="73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3 - Accent 6"/>
    <w:basedOn w:val="73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4"/>
    <w:basedOn w:val="73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 Accent 1"/>
    <w:basedOn w:val="73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4 - Accent 2"/>
    <w:basedOn w:val="73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4 - Accent 3"/>
    <w:basedOn w:val="73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4 - Accent 4"/>
    <w:basedOn w:val="73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4 - Accent 5"/>
    <w:basedOn w:val="73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4 - Accent 6"/>
    <w:basedOn w:val="73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5 Dark"/>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Accent 1"/>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5 Dark - Accent 2"/>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5 Dark - Accent 3"/>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5 Dark- Accent 4"/>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5 Dark - Accent 5"/>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5 Dark - Accent 6"/>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6 Colorful"/>
    <w:basedOn w:val="73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82">
    <w:name w:val="Grid Table 6 Colorful - Accent 1"/>
    <w:basedOn w:val="73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3">
    <w:name w:val="Grid Table 6 Colorful - Accent 2"/>
    <w:basedOn w:val="73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4">
    <w:name w:val="Grid Table 6 Colorful - Accent 3"/>
    <w:basedOn w:val="73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5">
    <w:name w:val="Grid Table 6 Colorful - Accent 4"/>
    <w:basedOn w:val="73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6">
    <w:name w:val="Grid Table 6 Colorful - Accent 5"/>
    <w:basedOn w:val="73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7">
    <w:name w:val="Grid Table 6 Colorful - Accent 6"/>
    <w:basedOn w:val="73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8">
    <w:name w:val="Grid Table 7 Colorful"/>
    <w:basedOn w:val="73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 Accent 1"/>
    <w:basedOn w:val="73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7 Colorful - Accent 2"/>
    <w:basedOn w:val="73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7 Colorful - Accent 3"/>
    <w:basedOn w:val="73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7 Colorful - Accent 4"/>
    <w:basedOn w:val="73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7 Colorful - Accent 5"/>
    <w:basedOn w:val="73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7 Colorful - Accent 6"/>
    <w:basedOn w:val="73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1 Light"/>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 Accent 1"/>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 Accent 2"/>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 Accent 3"/>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1 Light - Accent 4"/>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1 Light - Accent 5"/>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1 Light - Accent 6"/>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w:basedOn w:val="73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 Accent 1"/>
    <w:basedOn w:val="73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 Accent 2"/>
    <w:basedOn w:val="73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 Accent 3"/>
    <w:basedOn w:val="73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2 - Accent 4"/>
    <w:basedOn w:val="73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2 - Accent 5"/>
    <w:basedOn w:val="73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2 - Accent 6"/>
    <w:basedOn w:val="73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w:basedOn w:val="73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 Accent 1"/>
    <w:basedOn w:val="73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 Accent 2"/>
    <w:basedOn w:val="73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 Accent 3"/>
    <w:basedOn w:val="73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3 - Accent 4"/>
    <w:basedOn w:val="73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3 - Accent 5"/>
    <w:basedOn w:val="73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3 - Accent 6"/>
    <w:basedOn w:val="73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w:basedOn w:val="73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 Accent 1"/>
    <w:basedOn w:val="73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 Accent 2"/>
    <w:basedOn w:val="73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 Accent 3"/>
    <w:basedOn w:val="73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4 - Accent 4"/>
    <w:basedOn w:val="73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4 - Accent 5"/>
    <w:basedOn w:val="73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4 - Accent 6"/>
    <w:basedOn w:val="73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5 Dark"/>
    <w:basedOn w:val="73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5 Dark - Accent 1"/>
    <w:basedOn w:val="73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5 Dark - Accent 2"/>
    <w:basedOn w:val="73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6">
    <w:name w:val="List Table 5 Dark - Accent 3"/>
    <w:basedOn w:val="73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7">
    <w:name w:val="List Table 5 Dark - Accent 4"/>
    <w:basedOn w:val="73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8">
    <w:name w:val="List Table 5 Dark - Accent 5"/>
    <w:basedOn w:val="73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9">
    <w:name w:val="List Table 5 Dark - Accent 6"/>
    <w:basedOn w:val="73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0">
    <w:name w:val="List Table 6 Colorful"/>
    <w:basedOn w:val="73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 Accent 1"/>
    <w:basedOn w:val="73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6 Colorful - Accent 2"/>
    <w:basedOn w:val="73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6 Colorful - Accent 3"/>
    <w:basedOn w:val="73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6 Colorful - Accent 4"/>
    <w:basedOn w:val="73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6 Colorful - Accent 5"/>
    <w:basedOn w:val="73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6 Colorful - Accent 6"/>
    <w:basedOn w:val="73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7 Colorful"/>
    <w:basedOn w:val="73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8">
    <w:name w:val="List Table 7 Colorful - Accent 1"/>
    <w:basedOn w:val="73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9">
    <w:name w:val="List Table 7 Colorful - Accent 2"/>
    <w:basedOn w:val="73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40">
    <w:name w:val="List Table 7 Colorful - Accent 3"/>
    <w:basedOn w:val="73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41">
    <w:name w:val="List Table 7 Colorful - Accent 4"/>
    <w:basedOn w:val="73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42">
    <w:name w:val="List Table 7 Colorful - Accent 5"/>
    <w:basedOn w:val="73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43">
    <w:name w:val="List Table 7 Colorful - Accent 6"/>
    <w:basedOn w:val="73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44">
    <w:name w:val="Lined - Accent"/>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ned - Accent 1"/>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ned - Accent 2"/>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ned - Accent 3"/>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ned - Accent 4"/>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ned - Accent 5"/>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ned - Accent 6"/>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amp; Lined - Accent"/>
    <w:basedOn w:val="73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amp; Lined - Accent 1"/>
    <w:basedOn w:val="73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amp; Lined - Accent 2"/>
    <w:basedOn w:val="73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amp; Lined - Accent 3"/>
    <w:basedOn w:val="73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amp; Lined - Accent 4"/>
    <w:basedOn w:val="73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amp; Lined - Accent 5"/>
    <w:basedOn w:val="73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amp; Lined - Accent 6"/>
    <w:basedOn w:val="73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w:basedOn w:val="73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 Accent 1"/>
    <w:basedOn w:val="73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 Accent 2"/>
    <w:basedOn w:val="73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 Accent 3"/>
    <w:basedOn w:val="73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 Accent 4"/>
    <w:basedOn w:val="73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 Accent 5"/>
    <w:basedOn w:val="73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 Accent 6"/>
    <w:basedOn w:val="73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65">
    <w:name w:val="Heading 7"/>
    <w:basedOn w:val="909"/>
    <w:next w:val="909"/>
    <w:link w:val="87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66">
    <w:name w:val="Heading 8"/>
    <w:basedOn w:val="909"/>
    <w:next w:val="909"/>
    <w:link w:val="87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67">
    <w:name w:val="Heading 9"/>
    <w:basedOn w:val="909"/>
    <w:next w:val="909"/>
    <w:link w:val="87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68" w:default="1">
    <w:name w:val="Default Paragraph Font"/>
    <w:uiPriority w:val="1"/>
    <w:semiHidden/>
    <w:unhideWhenUsed/>
    <w:pPr>
      <w:pBdr/>
      <w:spacing/>
      <w:ind/>
    </w:pPr>
  </w:style>
  <w:style w:type="numbering" w:styleId="869" w:default="1">
    <w:name w:val="No List"/>
    <w:uiPriority w:val="99"/>
    <w:semiHidden/>
    <w:unhideWhenUsed/>
    <w:pPr>
      <w:pBdr/>
      <w:spacing/>
      <w:ind/>
    </w:pPr>
  </w:style>
  <w:style w:type="character" w:styleId="870">
    <w:name w:val="Heading 1 Char"/>
    <w:basedOn w:val="868"/>
    <w:link w:val="911"/>
    <w:uiPriority w:val="9"/>
    <w:pPr>
      <w:pBdr/>
      <w:spacing/>
      <w:ind/>
    </w:pPr>
    <w:rPr>
      <w:rFonts w:ascii="Arial" w:hAnsi="Arial" w:eastAsia="Arial" w:cs="Arial"/>
      <w:color w:val="0f4761" w:themeColor="accent1" w:themeShade="BF"/>
      <w:sz w:val="40"/>
      <w:szCs w:val="40"/>
    </w:rPr>
  </w:style>
  <w:style w:type="character" w:styleId="871">
    <w:name w:val="Heading 2 Char"/>
    <w:basedOn w:val="868"/>
    <w:link w:val="912"/>
    <w:uiPriority w:val="9"/>
    <w:pPr>
      <w:pBdr/>
      <w:spacing/>
      <w:ind/>
    </w:pPr>
    <w:rPr>
      <w:rFonts w:ascii="Arial" w:hAnsi="Arial" w:eastAsia="Arial" w:cs="Arial"/>
      <w:color w:val="0f4761" w:themeColor="accent1" w:themeShade="BF"/>
      <w:sz w:val="32"/>
      <w:szCs w:val="32"/>
    </w:rPr>
  </w:style>
  <w:style w:type="character" w:styleId="872">
    <w:name w:val="Heading 3 Char"/>
    <w:basedOn w:val="868"/>
    <w:link w:val="913"/>
    <w:uiPriority w:val="9"/>
    <w:pPr>
      <w:pBdr/>
      <w:spacing/>
      <w:ind/>
    </w:pPr>
    <w:rPr>
      <w:rFonts w:ascii="Arial" w:hAnsi="Arial" w:eastAsia="Arial" w:cs="Arial"/>
      <w:color w:val="0f4761" w:themeColor="accent1" w:themeShade="BF"/>
      <w:sz w:val="28"/>
      <w:szCs w:val="28"/>
    </w:rPr>
  </w:style>
  <w:style w:type="character" w:styleId="873">
    <w:name w:val="Heading 4 Char"/>
    <w:basedOn w:val="868"/>
    <w:link w:val="914"/>
    <w:uiPriority w:val="9"/>
    <w:pPr>
      <w:pBdr/>
      <w:spacing/>
      <w:ind/>
    </w:pPr>
    <w:rPr>
      <w:rFonts w:ascii="Arial" w:hAnsi="Arial" w:eastAsia="Arial" w:cs="Arial"/>
      <w:i/>
      <w:iCs/>
      <w:color w:val="0f4761" w:themeColor="accent1" w:themeShade="BF"/>
    </w:rPr>
  </w:style>
  <w:style w:type="character" w:styleId="874">
    <w:name w:val="Heading 5 Char"/>
    <w:basedOn w:val="868"/>
    <w:link w:val="915"/>
    <w:uiPriority w:val="9"/>
    <w:pPr>
      <w:pBdr/>
      <w:spacing/>
      <w:ind/>
    </w:pPr>
    <w:rPr>
      <w:rFonts w:ascii="Arial" w:hAnsi="Arial" w:eastAsia="Arial" w:cs="Arial"/>
      <w:color w:val="0f4761" w:themeColor="accent1" w:themeShade="BF"/>
    </w:rPr>
  </w:style>
  <w:style w:type="character" w:styleId="875">
    <w:name w:val="Heading 6 Char"/>
    <w:basedOn w:val="868"/>
    <w:link w:val="916"/>
    <w:uiPriority w:val="9"/>
    <w:pPr>
      <w:pBdr/>
      <w:spacing/>
      <w:ind/>
    </w:pPr>
    <w:rPr>
      <w:rFonts w:ascii="Arial" w:hAnsi="Arial" w:eastAsia="Arial" w:cs="Arial"/>
      <w:i/>
      <w:iCs/>
      <w:color w:val="595959" w:themeColor="text1" w:themeTint="A6"/>
    </w:rPr>
  </w:style>
  <w:style w:type="character" w:styleId="876">
    <w:name w:val="Heading 7 Char"/>
    <w:basedOn w:val="868"/>
    <w:link w:val="865"/>
    <w:uiPriority w:val="9"/>
    <w:pPr>
      <w:pBdr/>
      <w:spacing/>
      <w:ind/>
    </w:pPr>
    <w:rPr>
      <w:rFonts w:ascii="Arial" w:hAnsi="Arial" w:eastAsia="Arial" w:cs="Arial"/>
      <w:color w:val="595959" w:themeColor="text1" w:themeTint="A6"/>
    </w:rPr>
  </w:style>
  <w:style w:type="character" w:styleId="877">
    <w:name w:val="Heading 8 Char"/>
    <w:basedOn w:val="868"/>
    <w:link w:val="866"/>
    <w:uiPriority w:val="9"/>
    <w:pPr>
      <w:pBdr/>
      <w:spacing/>
      <w:ind/>
    </w:pPr>
    <w:rPr>
      <w:rFonts w:ascii="Arial" w:hAnsi="Arial" w:eastAsia="Arial" w:cs="Arial"/>
      <w:i/>
      <w:iCs/>
      <w:color w:val="272727" w:themeColor="text1" w:themeTint="D8"/>
    </w:rPr>
  </w:style>
  <w:style w:type="character" w:styleId="878">
    <w:name w:val="Heading 9 Char"/>
    <w:basedOn w:val="868"/>
    <w:link w:val="867"/>
    <w:uiPriority w:val="9"/>
    <w:pPr>
      <w:pBdr/>
      <w:spacing/>
      <w:ind/>
    </w:pPr>
    <w:rPr>
      <w:rFonts w:ascii="Arial" w:hAnsi="Arial" w:eastAsia="Arial" w:cs="Arial"/>
      <w:i/>
      <w:iCs/>
      <w:color w:val="272727" w:themeColor="text1" w:themeTint="D8"/>
    </w:rPr>
  </w:style>
  <w:style w:type="character" w:styleId="879">
    <w:name w:val="Title Char"/>
    <w:basedOn w:val="868"/>
    <w:link w:val="917"/>
    <w:uiPriority w:val="10"/>
    <w:pPr>
      <w:pBdr/>
      <w:spacing/>
      <w:ind/>
    </w:pPr>
    <w:rPr>
      <w:rFonts w:ascii="Arial" w:hAnsi="Arial" w:eastAsia="Arial" w:cs="Arial"/>
      <w:spacing w:val="-10"/>
      <w:sz w:val="56"/>
      <w:szCs w:val="56"/>
    </w:rPr>
  </w:style>
  <w:style w:type="character" w:styleId="880">
    <w:name w:val="Subtitle Char"/>
    <w:basedOn w:val="868"/>
    <w:link w:val="918"/>
    <w:uiPriority w:val="11"/>
    <w:pPr>
      <w:pBdr/>
      <w:spacing/>
      <w:ind/>
    </w:pPr>
    <w:rPr>
      <w:color w:val="595959" w:themeColor="text1" w:themeTint="A6"/>
      <w:spacing w:val="15"/>
      <w:sz w:val="28"/>
      <w:szCs w:val="28"/>
    </w:rPr>
  </w:style>
  <w:style w:type="paragraph" w:styleId="881">
    <w:name w:val="Quote"/>
    <w:basedOn w:val="909"/>
    <w:next w:val="909"/>
    <w:link w:val="882"/>
    <w:uiPriority w:val="29"/>
    <w:qFormat/>
    <w:pPr>
      <w:pBdr/>
      <w:spacing w:before="160"/>
      <w:ind/>
      <w:jc w:val="center"/>
    </w:pPr>
    <w:rPr>
      <w:i/>
      <w:iCs/>
      <w:color w:val="404040" w:themeColor="text1" w:themeTint="BF"/>
    </w:rPr>
  </w:style>
  <w:style w:type="character" w:styleId="882">
    <w:name w:val="Quote Char"/>
    <w:basedOn w:val="868"/>
    <w:link w:val="881"/>
    <w:uiPriority w:val="29"/>
    <w:pPr>
      <w:pBdr/>
      <w:spacing/>
      <w:ind/>
    </w:pPr>
    <w:rPr>
      <w:i/>
      <w:iCs/>
      <w:color w:val="404040" w:themeColor="text1" w:themeTint="BF"/>
    </w:rPr>
  </w:style>
  <w:style w:type="paragraph" w:styleId="883">
    <w:name w:val="List Paragraph"/>
    <w:basedOn w:val="909"/>
    <w:uiPriority w:val="34"/>
    <w:qFormat/>
    <w:pPr>
      <w:pBdr/>
      <w:spacing/>
      <w:ind w:left="720"/>
      <w:contextualSpacing w:val="true"/>
    </w:pPr>
  </w:style>
  <w:style w:type="character" w:styleId="884">
    <w:name w:val="Intense Emphasis"/>
    <w:basedOn w:val="868"/>
    <w:uiPriority w:val="21"/>
    <w:qFormat/>
    <w:pPr>
      <w:pBdr/>
      <w:spacing/>
      <w:ind/>
    </w:pPr>
    <w:rPr>
      <w:i/>
      <w:iCs/>
      <w:color w:val="0f4761" w:themeColor="accent1" w:themeShade="BF"/>
    </w:rPr>
  </w:style>
  <w:style w:type="paragraph" w:styleId="885">
    <w:name w:val="Intense Quote"/>
    <w:basedOn w:val="909"/>
    <w:next w:val="909"/>
    <w:link w:val="88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86">
    <w:name w:val="Intense Quote Char"/>
    <w:basedOn w:val="868"/>
    <w:link w:val="885"/>
    <w:uiPriority w:val="30"/>
    <w:pPr>
      <w:pBdr/>
      <w:spacing/>
      <w:ind/>
    </w:pPr>
    <w:rPr>
      <w:i/>
      <w:iCs/>
      <w:color w:val="0f4761" w:themeColor="accent1" w:themeShade="BF"/>
    </w:rPr>
  </w:style>
  <w:style w:type="character" w:styleId="887">
    <w:name w:val="Intense Reference"/>
    <w:basedOn w:val="868"/>
    <w:uiPriority w:val="32"/>
    <w:qFormat/>
    <w:pPr>
      <w:pBdr/>
      <w:spacing/>
      <w:ind/>
    </w:pPr>
    <w:rPr>
      <w:b/>
      <w:bCs/>
      <w:smallCaps/>
      <w:color w:val="0f4761" w:themeColor="accent1" w:themeShade="BF"/>
      <w:spacing w:val="5"/>
    </w:rPr>
  </w:style>
  <w:style w:type="paragraph" w:styleId="888">
    <w:name w:val="No Spacing"/>
    <w:basedOn w:val="909"/>
    <w:uiPriority w:val="1"/>
    <w:qFormat/>
    <w:pPr>
      <w:pBdr/>
      <w:spacing w:after="0" w:line="240" w:lineRule="auto"/>
      <w:ind/>
    </w:pPr>
  </w:style>
  <w:style w:type="character" w:styleId="889">
    <w:name w:val="Subtle Emphasis"/>
    <w:basedOn w:val="868"/>
    <w:uiPriority w:val="19"/>
    <w:qFormat/>
    <w:pPr>
      <w:pBdr/>
      <w:spacing/>
      <w:ind/>
    </w:pPr>
    <w:rPr>
      <w:i/>
      <w:iCs/>
      <w:color w:val="404040" w:themeColor="text1" w:themeTint="BF"/>
    </w:rPr>
  </w:style>
  <w:style w:type="character" w:styleId="890">
    <w:name w:val="Emphasis"/>
    <w:basedOn w:val="868"/>
    <w:uiPriority w:val="20"/>
    <w:qFormat/>
    <w:pPr>
      <w:pBdr/>
      <w:spacing/>
      <w:ind/>
    </w:pPr>
    <w:rPr>
      <w:i/>
      <w:iCs/>
    </w:rPr>
  </w:style>
  <w:style w:type="character" w:styleId="891">
    <w:name w:val="Strong"/>
    <w:basedOn w:val="868"/>
    <w:uiPriority w:val="22"/>
    <w:qFormat/>
    <w:pPr>
      <w:pBdr/>
      <w:spacing/>
      <w:ind/>
    </w:pPr>
    <w:rPr>
      <w:b/>
      <w:bCs/>
    </w:rPr>
  </w:style>
  <w:style w:type="character" w:styleId="892">
    <w:name w:val="Subtle Reference"/>
    <w:basedOn w:val="868"/>
    <w:uiPriority w:val="31"/>
    <w:qFormat/>
    <w:pPr>
      <w:pBdr/>
      <w:spacing/>
      <w:ind/>
    </w:pPr>
    <w:rPr>
      <w:smallCaps/>
      <w:color w:val="5a5a5a" w:themeColor="text1" w:themeTint="A5"/>
    </w:rPr>
  </w:style>
  <w:style w:type="character" w:styleId="893">
    <w:name w:val="Book Title"/>
    <w:basedOn w:val="868"/>
    <w:uiPriority w:val="33"/>
    <w:qFormat/>
    <w:pPr>
      <w:pBdr/>
      <w:spacing/>
      <w:ind/>
    </w:pPr>
    <w:rPr>
      <w:b/>
      <w:bCs/>
      <w:i/>
      <w:iCs/>
      <w:spacing w:val="5"/>
    </w:rPr>
  </w:style>
  <w:style w:type="paragraph" w:styleId="894">
    <w:name w:val="Header"/>
    <w:basedOn w:val="909"/>
    <w:link w:val="895"/>
    <w:uiPriority w:val="99"/>
    <w:unhideWhenUsed/>
    <w:pPr>
      <w:pBdr/>
      <w:tabs>
        <w:tab w:val="center" w:leader="none" w:pos="4844"/>
        <w:tab w:val="right" w:leader="none" w:pos="9689"/>
      </w:tabs>
      <w:spacing w:after="0" w:line="240" w:lineRule="auto"/>
      <w:ind/>
    </w:pPr>
  </w:style>
  <w:style w:type="character" w:styleId="895">
    <w:name w:val="Header Char"/>
    <w:basedOn w:val="868"/>
    <w:link w:val="894"/>
    <w:uiPriority w:val="99"/>
    <w:pPr>
      <w:pBdr/>
      <w:spacing/>
      <w:ind/>
    </w:pPr>
  </w:style>
  <w:style w:type="paragraph" w:styleId="896">
    <w:name w:val="Footer"/>
    <w:basedOn w:val="909"/>
    <w:link w:val="897"/>
    <w:uiPriority w:val="99"/>
    <w:unhideWhenUsed/>
    <w:pPr>
      <w:pBdr/>
      <w:tabs>
        <w:tab w:val="center" w:leader="none" w:pos="4844"/>
        <w:tab w:val="right" w:leader="none" w:pos="9689"/>
      </w:tabs>
      <w:spacing w:after="0" w:line="240" w:lineRule="auto"/>
      <w:ind/>
    </w:pPr>
  </w:style>
  <w:style w:type="character" w:styleId="897">
    <w:name w:val="Footer Char"/>
    <w:basedOn w:val="868"/>
    <w:link w:val="896"/>
    <w:uiPriority w:val="99"/>
    <w:pPr>
      <w:pBdr/>
      <w:spacing/>
      <w:ind/>
    </w:pPr>
  </w:style>
  <w:style w:type="paragraph" w:styleId="898">
    <w:name w:val="Caption"/>
    <w:basedOn w:val="909"/>
    <w:next w:val="909"/>
    <w:uiPriority w:val="35"/>
    <w:unhideWhenUsed/>
    <w:qFormat/>
    <w:pPr>
      <w:pBdr/>
      <w:spacing w:after="200" w:line="240" w:lineRule="auto"/>
      <w:ind/>
    </w:pPr>
    <w:rPr>
      <w:i/>
      <w:iCs/>
      <w:color w:val="0e2841" w:themeColor="text2"/>
      <w:sz w:val="18"/>
      <w:szCs w:val="18"/>
    </w:rPr>
  </w:style>
  <w:style w:type="paragraph" w:styleId="899">
    <w:name w:val="footnote text"/>
    <w:basedOn w:val="909"/>
    <w:link w:val="900"/>
    <w:uiPriority w:val="99"/>
    <w:semiHidden/>
    <w:unhideWhenUsed/>
    <w:pPr>
      <w:pBdr/>
      <w:spacing w:after="0" w:line="240" w:lineRule="auto"/>
      <w:ind/>
    </w:pPr>
    <w:rPr>
      <w:sz w:val="20"/>
      <w:szCs w:val="20"/>
    </w:rPr>
  </w:style>
  <w:style w:type="character" w:styleId="900">
    <w:name w:val="Footnote Text Char"/>
    <w:basedOn w:val="868"/>
    <w:link w:val="899"/>
    <w:uiPriority w:val="99"/>
    <w:semiHidden/>
    <w:pPr>
      <w:pBdr/>
      <w:spacing/>
      <w:ind/>
    </w:pPr>
    <w:rPr>
      <w:sz w:val="20"/>
      <w:szCs w:val="20"/>
    </w:rPr>
  </w:style>
  <w:style w:type="character" w:styleId="901">
    <w:name w:val="footnote reference"/>
    <w:basedOn w:val="868"/>
    <w:uiPriority w:val="99"/>
    <w:semiHidden/>
    <w:unhideWhenUsed/>
    <w:pPr>
      <w:pBdr/>
      <w:spacing/>
      <w:ind/>
    </w:pPr>
    <w:rPr>
      <w:vertAlign w:val="superscript"/>
    </w:rPr>
  </w:style>
  <w:style w:type="paragraph" w:styleId="902">
    <w:name w:val="endnote text"/>
    <w:basedOn w:val="909"/>
    <w:link w:val="903"/>
    <w:uiPriority w:val="99"/>
    <w:semiHidden/>
    <w:unhideWhenUsed/>
    <w:pPr>
      <w:pBdr/>
      <w:spacing w:after="0" w:line="240" w:lineRule="auto"/>
      <w:ind/>
    </w:pPr>
    <w:rPr>
      <w:sz w:val="20"/>
      <w:szCs w:val="20"/>
    </w:rPr>
  </w:style>
  <w:style w:type="character" w:styleId="903">
    <w:name w:val="Endnote Text Char"/>
    <w:basedOn w:val="868"/>
    <w:link w:val="902"/>
    <w:uiPriority w:val="99"/>
    <w:semiHidden/>
    <w:pPr>
      <w:pBdr/>
      <w:spacing/>
      <w:ind/>
    </w:pPr>
    <w:rPr>
      <w:sz w:val="20"/>
      <w:szCs w:val="20"/>
    </w:rPr>
  </w:style>
  <w:style w:type="character" w:styleId="904">
    <w:name w:val="endnote reference"/>
    <w:basedOn w:val="868"/>
    <w:uiPriority w:val="99"/>
    <w:semiHidden/>
    <w:unhideWhenUsed/>
    <w:pPr>
      <w:pBdr/>
      <w:spacing/>
      <w:ind/>
    </w:pPr>
    <w:rPr>
      <w:vertAlign w:val="superscript"/>
    </w:rPr>
  </w:style>
  <w:style w:type="character" w:styleId="905">
    <w:name w:val="Hyperlink"/>
    <w:basedOn w:val="868"/>
    <w:uiPriority w:val="99"/>
    <w:unhideWhenUsed/>
    <w:pPr>
      <w:pBdr/>
      <w:spacing/>
      <w:ind/>
    </w:pPr>
    <w:rPr>
      <w:color w:val="0563c1" w:themeColor="hyperlink"/>
      <w:u w:val="single"/>
    </w:rPr>
  </w:style>
  <w:style w:type="character" w:styleId="906">
    <w:name w:val="FollowedHyperlink"/>
    <w:basedOn w:val="868"/>
    <w:uiPriority w:val="99"/>
    <w:semiHidden/>
    <w:unhideWhenUsed/>
    <w:pPr>
      <w:pBdr/>
      <w:spacing/>
      <w:ind/>
    </w:pPr>
    <w:rPr>
      <w:color w:val="954f72" w:themeColor="followedHyperlink"/>
      <w:u w:val="single"/>
    </w:rPr>
  </w:style>
  <w:style w:type="paragraph" w:styleId="907">
    <w:name w:val="TOC Heading"/>
    <w:uiPriority w:val="39"/>
    <w:unhideWhenUsed/>
    <w:pPr>
      <w:pBdr/>
      <w:spacing/>
      <w:ind/>
    </w:pPr>
  </w:style>
  <w:style w:type="paragraph" w:styleId="908">
    <w:name w:val="table of figures"/>
    <w:basedOn w:val="909"/>
    <w:next w:val="909"/>
    <w:uiPriority w:val="99"/>
    <w:unhideWhenUsed/>
    <w:pPr>
      <w:pBdr/>
      <w:spacing w:after="0" w:afterAutospacing="0"/>
      <w:ind/>
    </w:pPr>
  </w:style>
  <w:style w:type="paragraph" w:styleId="909" w:default="1">
    <w:name w:val="Normal"/>
    <w:pPr>
      <w:pBdr/>
      <w:spacing/>
      <w:ind/>
    </w:pPr>
  </w:style>
  <w:style w:type="table" w:styleId="910">
    <w:name w:val="Table Normal"/>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11">
    <w:name w:val="Heading 1"/>
    <w:basedOn w:val="909"/>
    <w:next w:val="909"/>
    <w:pPr>
      <w:keepNext w:val="true"/>
      <w:keepLines w:val="true"/>
      <w:pageBreakBefore w:val="false"/>
      <w:pBdr>
        <w:top w:val="none" w:color="000000" w:sz="0" w:space="0"/>
        <w:left w:val="none" w:color="000000" w:sz="0" w:space="0"/>
        <w:bottom w:val="none" w:color="000000" w:sz="0" w:space="0"/>
        <w:right w:val="none" w:color="000000" w:sz="0" w:space="0"/>
        <w:between w:val="none" w:color="000000" w:sz="0" w:space="0"/>
      </w:pBdr>
      <w:spacing w:before="200" w:line="240" w:lineRule="auto"/>
      <w:ind/>
    </w:pPr>
    <w:rPr>
      <w:color w:val="073763"/>
      <w:sz w:val="60"/>
      <w:szCs w:val="60"/>
    </w:rPr>
  </w:style>
  <w:style w:type="paragraph" w:styleId="912">
    <w:name w:val="Heading 2"/>
    <w:basedOn w:val="909"/>
    <w:next w:val="909"/>
    <w:pPr>
      <w:keepNext w:val="true"/>
      <w:keepLines w:val="true"/>
      <w:pageBreakBefore w:val="false"/>
      <w:pBdr/>
      <w:spacing w:before="300" w:line="240" w:lineRule="auto"/>
      <w:ind/>
    </w:pPr>
    <w:rPr>
      <w:color w:val="1c4587"/>
      <w:sz w:val="32"/>
      <w:szCs w:val="32"/>
    </w:rPr>
  </w:style>
  <w:style w:type="paragraph" w:styleId="913">
    <w:name w:val="Heading 3"/>
    <w:basedOn w:val="909"/>
    <w:next w:val="909"/>
    <w:pPr>
      <w:keepNext w:val="true"/>
      <w:keepLines w:val="true"/>
      <w:pageBreakBefore w:val="false"/>
      <w:pBdr/>
      <w:spacing w:after="200" w:before="200" w:line="240" w:lineRule="auto"/>
      <w:ind/>
      <w:jc w:val="both"/>
    </w:pPr>
    <w:rPr>
      <w:rFonts w:ascii="Cambria" w:hAnsi="Cambria" w:eastAsia="Cambria" w:cs="Cambria"/>
      <w:color w:val="0c343d"/>
      <w:sz w:val="28"/>
      <w:szCs w:val="28"/>
    </w:rPr>
  </w:style>
  <w:style w:type="paragraph" w:styleId="914">
    <w:name w:val="Heading 4"/>
    <w:basedOn w:val="909"/>
    <w:next w:val="909"/>
    <w:pPr>
      <w:keepNext w:val="true"/>
      <w:keepLines w:val="true"/>
      <w:pageBreakBefore w:val="false"/>
      <w:pBdr/>
      <w:spacing w:after="100" w:before="100" w:line="240" w:lineRule="auto"/>
      <w:ind/>
    </w:pPr>
    <w:rPr>
      <w:rFonts w:ascii="Cambria" w:hAnsi="Cambria" w:eastAsia="Cambria" w:cs="Cambria"/>
      <w:color w:val="073763"/>
      <w:sz w:val="24"/>
      <w:szCs w:val="24"/>
    </w:rPr>
  </w:style>
  <w:style w:type="paragraph" w:styleId="915">
    <w:name w:val="Heading 5"/>
    <w:basedOn w:val="909"/>
    <w:next w:val="909"/>
    <w:pPr>
      <w:keepNext w:val="true"/>
      <w:keepLines w:val="true"/>
      <w:pageBreakBefore w:val="false"/>
      <w:pBdr/>
      <w:spacing w:after="80" w:before="240"/>
      <w:ind/>
    </w:pPr>
    <w:rPr>
      <w:color w:val="666666"/>
      <w:sz w:val="22"/>
      <w:szCs w:val="22"/>
    </w:rPr>
  </w:style>
  <w:style w:type="paragraph" w:styleId="916">
    <w:name w:val="Heading 6"/>
    <w:basedOn w:val="909"/>
    <w:next w:val="909"/>
    <w:pPr>
      <w:keepNext w:val="true"/>
      <w:keepLines w:val="true"/>
      <w:pageBreakBefore w:val="false"/>
      <w:pBdr/>
      <w:spacing w:after="80" w:before="240"/>
      <w:ind/>
    </w:pPr>
    <w:rPr>
      <w:i/>
      <w:color w:val="666666"/>
      <w:sz w:val="22"/>
      <w:szCs w:val="22"/>
    </w:rPr>
  </w:style>
  <w:style w:type="paragraph" w:styleId="917">
    <w:name w:val="Title"/>
    <w:basedOn w:val="909"/>
    <w:next w:val="909"/>
    <w:pPr>
      <w:keepNext w:val="true"/>
      <w:keepLines w:val="true"/>
      <w:pageBreakBefore w:val="false"/>
      <w:pBdr/>
      <w:spacing w:after="500" w:line="268" w:lineRule="auto"/>
      <w:ind/>
      <w:jc w:val="center"/>
    </w:pPr>
    <w:rPr>
      <w:color w:val="073763"/>
      <w:sz w:val="48"/>
      <w:szCs w:val="48"/>
    </w:rPr>
  </w:style>
  <w:style w:type="paragraph" w:styleId="918">
    <w:name w:val="Subtitle"/>
    <w:basedOn w:val="909"/>
    <w:next w:val="909"/>
    <w:pPr>
      <w:keepNext w:val="true"/>
      <w:keepLines w:val="true"/>
      <w:pageBreakBefore w:val="false"/>
      <w:pBdr>
        <w:top w:val="none" w:color="000000" w:sz="0" w:space="0"/>
        <w:left w:val="none" w:color="000000" w:sz="0" w:space="0"/>
        <w:bottom w:val="none" w:color="000000" w:sz="0" w:space="0"/>
        <w:right w:val="none" w:color="000000" w:sz="0" w:space="0"/>
        <w:between w:val="none" w:color="000000" w:sz="0" w:space="0"/>
      </w:pBdr>
      <w:spacing w:after="0" w:line="240" w:lineRule="auto"/>
      <w:ind/>
      <w:jc w:val="center"/>
    </w:pPr>
    <w:rPr>
      <w:b/>
      <w:color w:val="073763"/>
      <w:sz w:val="36"/>
      <w:szCs w:val="36"/>
    </w:rPr>
  </w:style>
  <w:style w:type="table" w:styleId="919">
    <w:name w:val="StGen0"/>
    <w:basedOn w:val="910"/>
    <w:pPr>
      <w:pBdr/>
      <w:spacing/>
      <w:ind/>
    </w:pPr>
    <w:tblPr>
      <w:tblStyleRowBandSize w:val="1"/>
      <w:tblStyleColBandSize w:val="1"/>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StGen1"/>
    <w:basedOn w:val="910"/>
    <w:pPr>
      <w:pBdr/>
      <w:spacing/>
      <w:ind/>
    </w:pPr>
    <w:tblPr>
      <w:tblStyleRowBandSize w:val="1"/>
      <w:tblStyleColBandSize w:val="1"/>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hyperlink" Target="https://api.techlitafrica.org/stories/zawadi"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ONLYOFFICE/8.1.0.169</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modified xsi:type="dcterms:W3CDTF">2024-11-21T13:59:24Z</dcterms:modified>
</cp:coreProperties>
</file>